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9D07" w14:textId="79EAD22E" w:rsidR="00931109" w:rsidRDefault="00931109">
      <w:r>
        <w:t>APPUNTI SULLA SCUOLA, FORMAZIONE</w:t>
      </w:r>
      <w:r w:rsidR="005A1A76">
        <w:t xml:space="preserve"> E </w:t>
      </w:r>
      <w:r>
        <w:t>CULTURA</w:t>
      </w:r>
      <w:r w:rsidR="005A1A76">
        <w:t xml:space="preserve"> AD</w:t>
      </w:r>
      <w:r>
        <w:t xml:space="preserve"> ALTAMUR</w:t>
      </w:r>
      <w:r w:rsidR="0025091E">
        <w:t>A</w:t>
      </w:r>
    </w:p>
    <w:p w14:paraId="2AEDF405" w14:textId="6D655E02" w:rsidR="00931109" w:rsidRDefault="0025091E">
      <w:pPr>
        <w:rPr>
          <w:b/>
          <w:bCs/>
        </w:rPr>
      </w:pPr>
      <w:r>
        <w:rPr>
          <w:b/>
          <w:bCs/>
        </w:rPr>
        <w:t xml:space="preserve">Popolazione residente ad Altamura nel 2020 </w:t>
      </w:r>
    </w:p>
    <w:p w14:paraId="64D46C2F" w14:textId="1AB3E500" w:rsidR="0025091E" w:rsidRPr="0025091E" w:rsidRDefault="0025091E">
      <w:pPr>
        <w:rPr>
          <w:rFonts w:ascii="Calibri" w:hAnsi="Calibri" w:cs="Calibri"/>
          <w:b/>
          <w:bCs/>
        </w:rPr>
      </w:pPr>
      <w:r w:rsidRPr="0025091E">
        <w:rPr>
          <w:rFonts w:ascii="Calibri" w:hAnsi="Calibri" w:cs="Calibri"/>
          <w:color w:val="202124"/>
          <w:shd w:val="clear" w:color="auto" w:fill="FFFFFF"/>
        </w:rPr>
        <w:t>Al 31 dicembre del </w:t>
      </w:r>
      <w:r w:rsidRPr="0025091E">
        <w:rPr>
          <w:rFonts w:ascii="Calibri" w:hAnsi="Calibri" w:cs="Calibri"/>
          <w:b/>
          <w:bCs/>
          <w:color w:val="202124"/>
          <w:shd w:val="clear" w:color="auto" w:fill="FFFFFF"/>
        </w:rPr>
        <w:t>2020</w:t>
      </w:r>
      <w:r w:rsidRPr="0025091E">
        <w:rPr>
          <w:rFonts w:ascii="Calibri" w:hAnsi="Calibri" w:cs="Calibri"/>
          <w:color w:val="202124"/>
          <w:shd w:val="clear" w:color="auto" w:fill="FFFFFF"/>
        </w:rPr>
        <w:t> la </w:t>
      </w:r>
      <w:r w:rsidRPr="0025091E">
        <w:rPr>
          <w:rFonts w:ascii="Calibri" w:hAnsi="Calibri" w:cs="Calibri"/>
          <w:b/>
          <w:bCs/>
          <w:color w:val="202124"/>
          <w:shd w:val="clear" w:color="auto" w:fill="FFFFFF"/>
        </w:rPr>
        <w:t>popolazione</w:t>
      </w:r>
      <w:r w:rsidRPr="0025091E">
        <w:rPr>
          <w:rFonts w:ascii="Calibri" w:hAnsi="Calibri" w:cs="Calibri"/>
          <w:color w:val="202124"/>
          <w:shd w:val="clear" w:color="auto" w:fill="FFFFFF"/>
        </w:rPr>
        <w:t> complessiva è pari a 70.500 </w:t>
      </w:r>
      <w:r w:rsidRPr="0025091E">
        <w:rPr>
          <w:rFonts w:ascii="Calibri" w:hAnsi="Calibri" w:cs="Calibri"/>
          <w:b/>
          <w:bCs/>
          <w:color w:val="202124"/>
          <w:shd w:val="clear" w:color="auto" w:fill="FFFFFF"/>
        </w:rPr>
        <w:t>residenti</w:t>
      </w:r>
      <w:r w:rsidRPr="0025091E">
        <w:rPr>
          <w:rFonts w:ascii="Calibri" w:hAnsi="Calibri" w:cs="Calibri"/>
          <w:color w:val="202124"/>
          <w:shd w:val="clear" w:color="auto" w:fill="FFFFFF"/>
        </w:rPr>
        <w:t> (34.571 maschi, 35.929 femmine), con una riduzione di 109 unità rispetto al 31/12/2019.</w:t>
      </w:r>
      <w:r>
        <w:rPr>
          <w:rFonts w:ascii="Calibri" w:hAnsi="Calibri" w:cs="Calibri"/>
          <w:color w:val="202124"/>
          <w:shd w:val="clear" w:color="auto" w:fill="FFFFFF"/>
        </w:rPr>
        <w:t xml:space="preserve"> Nei comuni pugliesi con la più alta popolazione residente è all’ottavo posto dopo Bari, Taranto, Foggia, Andria, Lecce, Barletta, Brindisi</w:t>
      </w:r>
      <w:r w:rsidR="008E29A0">
        <w:rPr>
          <w:rFonts w:ascii="Calibri" w:hAnsi="Calibri" w:cs="Calibri"/>
          <w:color w:val="202124"/>
          <w:shd w:val="clear" w:color="auto" w:fill="FFFFFF"/>
        </w:rPr>
        <w:t>.</w:t>
      </w:r>
    </w:p>
    <w:p w14:paraId="56EB3B1E" w14:textId="5AAFF244" w:rsidR="00D51345" w:rsidRPr="00931109" w:rsidRDefault="004E6D6A">
      <w:pPr>
        <w:rPr>
          <w:b/>
          <w:bCs/>
        </w:rPr>
      </w:pPr>
      <w:r w:rsidRPr="00931109">
        <w:rPr>
          <w:b/>
          <w:bCs/>
        </w:rPr>
        <w:t>Popolazione scolastica</w:t>
      </w:r>
      <w:r w:rsidR="006A18E3" w:rsidRPr="00931109">
        <w:rPr>
          <w:b/>
          <w:bCs/>
        </w:rPr>
        <w:t xml:space="preserve"> </w:t>
      </w:r>
      <w:r w:rsidRPr="00931109">
        <w:rPr>
          <w:b/>
          <w:bCs/>
        </w:rPr>
        <w:t>ad ALTAMURA</w:t>
      </w:r>
      <w:r w:rsidR="006A18E3" w:rsidRPr="00931109">
        <w:rPr>
          <w:b/>
          <w:bCs/>
        </w:rPr>
        <w:t xml:space="preserve"> dati 2020</w:t>
      </w:r>
    </w:p>
    <w:p w14:paraId="0FBAEF14" w14:textId="117281EC" w:rsidR="004E6D6A" w:rsidRDefault="004E6D6A"/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350"/>
        <w:gridCol w:w="1350"/>
        <w:gridCol w:w="2377"/>
        <w:gridCol w:w="900"/>
        <w:gridCol w:w="900"/>
        <w:gridCol w:w="736"/>
        <w:gridCol w:w="861"/>
      </w:tblGrid>
      <w:tr w:rsidR="004E6D6A" w:rsidRPr="004E6D6A" w14:paraId="6FD5CB83" w14:textId="77777777" w:rsidTr="004E6D6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505D1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Età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CF77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Totale</w:t>
            </w: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br/>
              <w:t>Maschi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DA60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Totale</w:t>
            </w: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br/>
              <w:t>Femmine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85888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Totale</w:t>
            </w: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br/>
            </w:r>
            <w:proofErr w:type="spellStart"/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Maschi+Femmine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90D09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di cui </w:t>
            </w:r>
            <w:r w:rsidRPr="004E6D6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stranieri</w:t>
            </w:r>
          </w:p>
        </w:tc>
      </w:tr>
      <w:tr w:rsidR="004E6D6A" w:rsidRPr="004E6D6A" w14:paraId="614B91CE" w14:textId="77777777" w:rsidTr="004E6D6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D667C" w14:textId="77777777" w:rsidR="004E6D6A" w:rsidRPr="004E6D6A" w:rsidRDefault="004E6D6A" w:rsidP="004E6D6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193A9" w14:textId="77777777" w:rsidR="004E6D6A" w:rsidRPr="004E6D6A" w:rsidRDefault="004E6D6A" w:rsidP="004E6D6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ABAE6" w14:textId="77777777" w:rsidR="004E6D6A" w:rsidRPr="004E6D6A" w:rsidRDefault="004E6D6A" w:rsidP="004E6D6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0D0BC" w14:textId="77777777" w:rsidR="004E6D6A" w:rsidRPr="004E6D6A" w:rsidRDefault="004E6D6A" w:rsidP="004E6D6A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4AB9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Maschi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6A967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Femmine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D921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M+F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A1C4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inherit" w:eastAsia="Times New Roman" w:hAnsi="inherit" w:cs="Arial"/>
                <w:i/>
                <w:iCs/>
                <w:color w:val="333333"/>
                <w:sz w:val="20"/>
                <w:szCs w:val="20"/>
                <w:lang w:eastAsia="it-IT"/>
              </w:rPr>
              <w:t>%</w:t>
            </w:r>
          </w:p>
        </w:tc>
      </w:tr>
      <w:tr w:rsidR="004E6D6A" w:rsidRPr="004E6D6A" w14:paraId="294741CD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B2566A7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4DFCDD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8E87B4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9CE729D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00FDBBD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B6D87F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4054827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9ADBD6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11,5%</w:t>
            </w:r>
          </w:p>
        </w:tc>
      </w:tr>
      <w:tr w:rsidR="004E6D6A" w:rsidRPr="004E6D6A" w14:paraId="43D90E38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DB43036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4AA602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738B96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62C6AA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105174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B5C0ED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5B1F91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7AEB16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7,8%</w:t>
            </w:r>
          </w:p>
        </w:tc>
      </w:tr>
      <w:tr w:rsidR="004E6D6A" w:rsidRPr="004E6D6A" w14:paraId="0571D716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9034498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D6B7BA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F734FA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5C42E1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228C94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1BD6C2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AE9D33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7593C7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8,1%</w:t>
            </w:r>
          </w:p>
        </w:tc>
      </w:tr>
      <w:tr w:rsidR="004E6D6A" w:rsidRPr="004E6D6A" w14:paraId="4E4DB46C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B551465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9FC69B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3716C0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149FF6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ED777AC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B16BAE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20C28D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786ED6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8,2%</w:t>
            </w:r>
          </w:p>
        </w:tc>
      </w:tr>
      <w:tr w:rsidR="004E6D6A" w:rsidRPr="004E6D6A" w14:paraId="19247007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60F7BB0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B08CA5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B47E07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F7B4C8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8330D2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98CDA5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BA17D38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D4DB4F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10,1%</w:t>
            </w:r>
          </w:p>
        </w:tc>
      </w:tr>
      <w:tr w:rsidR="004E6D6A" w:rsidRPr="004E6D6A" w14:paraId="5B72E020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5EA7F88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2B46B8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744D12C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6192DA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EF9EB2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4BF6F6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F22287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C768FA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9,5%</w:t>
            </w:r>
          </w:p>
        </w:tc>
      </w:tr>
      <w:tr w:rsidR="004E6D6A" w:rsidRPr="004E6D6A" w14:paraId="3D683F80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0D0443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B6979F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879140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8034BA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17B2FF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DEB39AC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4103E6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E368A6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7,4%</w:t>
            </w:r>
          </w:p>
        </w:tc>
      </w:tr>
      <w:tr w:rsidR="004E6D6A" w:rsidRPr="004E6D6A" w14:paraId="109F27D8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358E03F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39FCD6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498575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35C6E4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BFFEF1D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4850A6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EC9D0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6511BA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7,5%</w:t>
            </w:r>
          </w:p>
        </w:tc>
      </w:tr>
      <w:tr w:rsidR="004E6D6A" w:rsidRPr="004E6D6A" w14:paraId="7EDF43EE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4C85033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3B9A05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3495EC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0C6007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70BA41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4A3440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6748F0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0A040B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5,8%</w:t>
            </w:r>
          </w:p>
        </w:tc>
      </w:tr>
      <w:tr w:rsidR="004E6D6A" w:rsidRPr="004E6D6A" w14:paraId="0353ED81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63DFC0B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2FB122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4F3578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67294B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4BFF7D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392BD67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F79064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0F21D1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8,1%</w:t>
            </w:r>
          </w:p>
        </w:tc>
      </w:tr>
      <w:tr w:rsidR="004E6D6A" w:rsidRPr="004E6D6A" w14:paraId="5047FC2A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5CB2D07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E8B441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FC0932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9D9323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C68C1B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9DCAA59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18017DD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A2032C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6,7%</w:t>
            </w:r>
          </w:p>
        </w:tc>
      </w:tr>
      <w:tr w:rsidR="004E6D6A" w:rsidRPr="004E6D6A" w14:paraId="4F8CD34A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4A1C03B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C5883A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ABE9C6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D83822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923C384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C107A24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F2A931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F59B54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6,6%</w:t>
            </w:r>
          </w:p>
        </w:tc>
      </w:tr>
      <w:tr w:rsidR="004E6D6A" w:rsidRPr="004E6D6A" w14:paraId="6EAFC8FD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8929DF0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BC1FB2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BCC970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2CBBB0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CD36F5C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663F88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441762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E5DC73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6,3%</w:t>
            </w:r>
          </w:p>
        </w:tc>
      </w:tr>
      <w:tr w:rsidR="004E6D6A" w:rsidRPr="004E6D6A" w14:paraId="06F4668E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8BE8D9D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14BBC0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179BD14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6575C0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072D92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028E14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A11835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CE84D9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5,5%</w:t>
            </w:r>
          </w:p>
        </w:tc>
      </w:tr>
      <w:tr w:rsidR="004E6D6A" w:rsidRPr="004E6D6A" w14:paraId="7FA4BD32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90F15DF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2C70660" w14:textId="2BFDB27C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84C35B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B67B97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9B017DD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390421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04541A8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BF48BD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5,3%</w:t>
            </w:r>
          </w:p>
        </w:tc>
      </w:tr>
      <w:tr w:rsidR="004E6D6A" w:rsidRPr="004E6D6A" w14:paraId="44A1537C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FB130F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41715D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4AEC36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F8A695C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BF8B15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EB7EB9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0D5ADF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07E9EDC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4,7%</w:t>
            </w:r>
          </w:p>
        </w:tc>
      </w:tr>
      <w:tr w:rsidR="004E6D6A" w:rsidRPr="004E6D6A" w14:paraId="05DF7355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C0C95BC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9D93766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2EFF5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F05E0A1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F87536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598A61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C286EE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632CC97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5,6%</w:t>
            </w:r>
          </w:p>
        </w:tc>
      </w:tr>
      <w:tr w:rsidR="004E6D6A" w:rsidRPr="004E6D6A" w14:paraId="51A99932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8583960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B9E0C3E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9485D6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832DDD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275D3F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D5116BA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AE1A44D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D6909C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5,2%</w:t>
            </w:r>
          </w:p>
        </w:tc>
      </w:tr>
      <w:tr w:rsidR="004E6D6A" w:rsidRPr="004E6D6A" w14:paraId="1BF51388" w14:textId="77777777" w:rsidTr="004E6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266F4F1" w14:textId="77777777" w:rsidR="004E6D6A" w:rsidRPr="004E6D6A" w:rsidRDefault="004E6D6A" w:rsidP="004E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2CFC353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7853812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CC4DA30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6F3407F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CFE38E8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FD9DDEB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4235EB5" w14:textId="77777777" w:rsidR="004E6D6A" w:rsidRPr="004E6D6A" w:rsidRDefault="004E6D6A" w:rsidP="004E6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4E6D6A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4,4%</w:t>
            </w:r>
          </w:p>
        </w:tc>
      </w:tr>
    </w:tbl>
    <w:p w14:paraId="70EF024A" w14:textId="79EF28EC" w:rsidR="004E6D6A" w:rsidRDefault="004E6D6A"/>
    <w:p w14:paraId="73EBE95E" w14:textId="39EABF51" w:rsidR="0077530C" w:rsidRPr="00777689" w:rsidRDefault="0077530C" w:rsidP="0077530C">
      <w:pPr>
        <w:spacing w:after="0"/>
        <w:rPr>
          <w:rFonts w:cstheme="minorHAnsi"/>
        </w:rPr>
      </w:pPr>
      <w:r w:rsidRPr="00777689">
        <w:rPr>
          <w:rFonts w:cstheme="minorHAnsi"/>
        </w:rPr>
        <w:t>La popolazione scolastica nella città di Altamura è nutrita e si aggira</w:t>
      </w:r>
      <w:r w:rsidR="003F409B" w:rsidRPr="00777689">
        <w:rPr>
          <w:rFonts w:cstheme="minorHAnsi"/>
        </w:rPr>
        <w:t xml:space="preserve"> complessivamente</w:t>
      </w:r>
      <w:r w:rsidRPr="00777689">
        <w:rPr>
          <w:rFonts w:cstheme="minorHAnsi"/>
        </w:rPr>
        <w:t xml:space="preserve"> su</w:t>
      </w:r>
      <w:r w:rsidR="003F409B" w:rsidRPr="00777689">
        <w:rPr>
          <w:rFonts w:cstheme="minorHAnsi"/>
        </w:rPr>
        <w:t xml:space="preserve"> un totale di </w:t>
      </w:r>
      <w:r w:rsidRPr="00777689">
        <w:rPr>
          <w:rFonts w:cstheme="minorHAnsi"/>
        </w:rPr>
        <w:t xml:space="preserve">14.594 </w:t>
      </w:r>
      <w:r w:rsidR="003F409B" w:rsidRPr="00777689">
        <w:rPr>
          <w:rFonts w:cstheme="minorHAnsi"/>
        </w:rPr>
        <w:t>(</w:t>
      </w:r>
      <w:r w:rsidRPr="00777689">
        <w:rPr>
          <w:rFonts w:cstheme="minorHAnsi"/>
        </w:rPr>
        <w:t>studenti</w:t>
      </w:r>
      <w:r w:rsidR="003F409B" w:rsidRPr="00777689">
        <w:rPr>
          <w:rFonts w:cstheme="minorHAnsi"/>
        </w:rPr>
        <w:t>), questo è il dato dell’ultimo censimento ISTAT del 2020 così suddiviso nei diversi ordini di scuola</w:t>
      </w:r>
      <w:r w:rsidRPr="00777689">
        <w:rPr>
          <w:rFonts w:cstheme="minorHAnsi"/>
        </w:rPr>
        <w:t xml:space="preserve">: </w:t>
      </w:r>
    </w:p>
    <w:p w14:paraId="6C5C8BBD" w14:textId="59FBFCBA" w:rsidR="0077530C" w:rsidRPr="00777689" w:rsidRDefault="0077530C" w:rsidP="00490E22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scuola dell’infanzia da 0 a 2 anni </w:t>
      </w:r>
      <w:r w:rsidR="003147CE">
        <w:rPr>
          <w:rFonts w:cstheme="minorHAnsi"/>
        </w:rPr>
        <w:tab/>
      </w:r>
      <w:r w:rsidR="003147CE">
        <w:rPr>
          <w:rFonts w:cstheme="minorHAnsi"/>
        </w:rPr>
        <w:tab/>
      </w:r>
      <w:r w:rsidRPr="00777689">
        <w:rPr>
          <w:rFonts w:cstheme="minorHAnsi"/>
        </w:rPr>
        <w:t xml:space="preserve">1982 (997 maschi e 985 femmine) </w:t>
      </w:r>
    </w:p>
    <w:p w14:paraId="2F54B50C" w14:textId="331B4C01" w:rsidR="0077530C" w:rsidRPr="00777689" w:rsidRDefault="0077530C" w:rsidP="00490E22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scuola dell’infanzia da 3 a 5 anni </w:t>
      </w:r>
      <w:r w:rsidR="003147CE">
        <w:rPr>
          <w:rFonts w:cstheme="minorHAnsi"/>
        </w:rPr>
        <w:tab/>
      </w:r>
      <w:r w:rsidR="003147CE">
        <w:rPr>
          <w:rFonts w:cstheme="minorHAnsi"/>
        </w:rPr>
        <w:tab/>
      </w:r>
      <w:r w:rsidRPr="00777689">
        <w:rPr>
          <w:rFonts w:cstheme="minorHAnsi"/>
        </w:rPr>
        <w:t>1088 (1.007 maschi e 2095 femmine)</w:t>
      </w:r>
    </w:p>
    <w:p w14:paraId="48EC0077" w14:textId="0C664BE2" w:rsidR="0077530C" w:rsidRPr="00777689" w:rsidRDefault="0077530C" w:rsidP="00490E22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scuola primaria da 6 a 10 anni     </w:t>
      </w:r>
      <w:r w:rsidR="00931109">
        <w:rPr>
          <w:rFonts w:cstheme="minorHAnsi"/>
        </w:rPr>
        <w:tab/>
      </w:r>
      <w:r w:rsidR="00931109">
        <w:rPr>
          <w:rFonts w:cstheme="minorHAnsi"/>
        </w:rPr>
        <w:tab/>
      </w:r>
      <w:r w:rsidRPr="00777689">
        <w:rPr>
          <w:rFonts w:cstheme="minorHAnsi"/>
        </w:rPr>
        <w:t xml:space="preserve">3668 </w:t>
      </w:r>
      <w:r w:rsidR="00490E22" w:rsidRPr="00777689">
        <w:rPr>
          <w:rFonts w:cstheme="minorHAnsi"/>
        </w:rPr>
        <w:t>(1830 maschi e 1838 femmine)</w:t>
      </w:r>
      <w:r w:rsidR="00490E22" w:rsidRPr="00777689">
        <w:rPr>
          <w:rFonts w:cstheme="minorHAnsi"/>
        </w:rPr>
        <w:tab/>
      </w:r>
    </w:p>
    <w:p w14:paraId="2D5609FE" w14:textId="6F7725C4" w:rsidR="00490E22" w:rsidRPr="00777689" w:rsidRDefault="00490E22" w:rsidP="00490E22">
      <w:pPr>
        <w:spacing w:after="0"/>
        <w:rPr>
          <w:rFonts w:cstheme="minorHAnsi"/>
        </w:rPr>
      </w:pPr>
      <w:r w:rsidRPr="00777689">
        <w:rPr>
          <w:rFonts w:cstheme="minorHAnsi"/>
        </w:rPr>
        <w:t>scuola secondaria di 1°grado (11-13 anni)</w:t>
      </w:r>
      <w:r w:rsidR="00931109">
        <w:rPr>
          <w:rFonts w:cstheme="minorHAnsi"/>
        </w:rPr>
        <w:tab/>
      </w:r>
      <w:r w:rsidRPr="00777689">
        <w:rPr>
          <w:rFonts w:cstheme="minorHAnsi"/>
        </w:rPr>
        <w:t>2374 (1178 maschi e 2374 femmine)</w:t>
      </w:r>
    </w:p>
    <w:p w14:paraId="64F0623B" w14:textId="6EB53772" w:rsidR="00490E22" w:rsidRPr="00777689" w:rsidRDefault="00490E22" w:rsidP="00490E22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scuola secondaria di 2° grado 4.475 </w:t>
      </w:r>
      <w:r w:rsidR="003F409B" w:rsidRPr="00777689">
        <w:rPr>
          <w:rFonts w:cstheme="minorHAnsi"/>
        </w:rPr>
        <w:t>(</w:t>
      </w:r>
      <w:r w:rsidRPr="00777689">
        <w:rPr>
          <w:rFonts w:cstheme="minorHAnsi"/>
        </w:rPr>
        <w:t>maschi</w:t>
      </w:r>
      <w:r w:rsidR="00931109">
        <w:rPr>
          <w:rFonts w:cstheme="minorHAnsi"/>
        </w:rPr>
        <w:t>)</w:t>
      </w:r>
      <w:r w:rsidRPr="00777689">
        <w:rPr>
          <w:rFonts w:cstheme="minorHAnsi"/>
        </w:rPr>
        <w:t xml:space="preserve"> </w:t>
      </w:r>
      <w:r w:rsidR="00931109">
        <w:rPr>
          <w:rFonts w:cstheme="minorHAnsi"/>
        </w:rPr>
        <w:tab/>
      </w:r>
      <w:r w:rsidRPr="00777689">
        <w:rPr>
          <w:rFonts w:cstheme="minorHAnsi"/>
        </w:rPr>
        <w:t>2286 e 2189 femmine)</w:t>
      </w:r>
      <w:r w:rsidR="003F409B" w:rsidRPr="00777689">
        <w:rPr>
          <w:rFonts w:cstheme="minorHAnsi"/>
        </w:rPr>
        <w:t>.</w:t>
      </w:r>
    </w:p>
    <w:p w14:paraId="08480E33" w14:textId="536F40E4" w:rsidR="003F409B" w:rsidRPr="00777689" w:rsidRDefault="003F409B" w:rsidP="00490E22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Come si può notare </w:t>
      </w:r>
      <w:r w:rsidR="008A1A44" w:rsidRPr="00777689">
        <w:rPr>
          <w:rFonts w:cstheme="minorHAnsi"/>
        </w:rPr>
        <w:t xml:space="preserve">l’ordine più consistente è quello </w:t>
      </w:r>
      <w:r w:rsidR="00DD4E2C">
        <w:rPr>
          <w:rFonts w:cstheme="minorHAnsi"/>
        </w:rPr>
        <w:t>del</w:t>
      </w:r>
      <w:r w:rsidR="008A1A44" w:rsidRPr="00777689">
        <w:rPr>
          <w:rFonts w:cstheme="minorHAnsi"/>
        </w:rPr>
        <w:t>la scuola secondaria di 2 grado seguito rispettivamente dalla primaria, dalla scuola media di 1 grado</w:t>
      </w:r>
      <w:r w:rsidR="00DD4E2C">
        <w:rPr>
          <w:rFonts w:cstheme="minorHAnsi"/>
        </w:rPr>
        <w:t>,</w:t>
      </w:r>
      <w:r w:rsidR="008A1A44" w:rsidRPr="00777689">
        <w:rPr>
          <w:rFonts w:cstheme="minorHAnsi"/>
        </w:rPr>
        <w:t xml:space="preserve"> dalla scuola dell’infanzia e infine dalla da quella primaria.</w:t>
      </w:r>
    </w:p>
    <w:p w14:paraId="34355353" w14:textId="77777777" w:rsidR="002404DD" w:rsidRDefault="002404DD" w:rsidP="00777689">
      <w:pPr>
        <w:spacing w:after="0"/>
        <w:rPr>
          <w:rFonts w:cstheme="minorHAnsi"/>
        </w:rPr>
      </w:pPr>
    </w:p>
    <w:p w14:paraId="14AC2BBC" w14:textId="3F3A21F4" w:rsidR="00F14A8B" w:rsidRPr="00777689" w:rsidRDefault="00F14A8B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Ad Altamura sono presenti scuole di ogni ordine e grado e sono</w:t>
      </w:r>
      <w:r w:rsidR="007272C0" w:rsidRPr="00777689">
        <w:rPr>
          <w:rFonts w:cstheme="minorHAnsi"/>
        </w:rPr>
        <w:t xml:space="preserve"> complessivamente 58 tra pubbliche e </w:t>
      </w:r>
      <w:r w:rsidR="008A1A44" w:rsidRPr="00777689">
        <w:rPr>
          <w:rFonts w:cstheme="minorHAnsi"/>
        </w:rPr>
        <w:t>paritarie</w:t>
      </w:r>
      <w:r w:rsidR="007272C0" w:rsidRPr="00777689">
        <w:rPr>
          <w:rFonts w:cstheme="minorHAnsi"/>
        </w:rPr>
        <w:t xml:space="preserve"> </w:t>
      </w:r>
      <w:r w:rsidRPr="00777689">
        <w:rPr>
          <w:rFonts w:cstheme="minorHAnsi"/>
        </w:rPr>
        <w:t>così distribuit</w:t>
      </w:r>
      <w:r w:rsidR="007272C0" w:rsidRPr="00777689">
        <w:rPr>
          <w:rFonts w:cstheme="minorHAnsi"/>
        </w:rPr>
        <w:t xml:space="preserve">e: </w:t>
      </w:r>
    </w:p>
    <w:p w14:paraId="7CF056DB" w14:textId="77777777" w:rsidR="002404DD" w:rsidRDefault="002404DD" w:rsidP="002404DD">
      <w:pPr>
        <w:spacing w:after="0"/>
        <w:rPr>
          <w:rFonts w:cstheme="minorHAnsi"/>
          <w:b/>
          <w:bCs/>
        </w:rPr>
      </w:pPr>
    </w:p>
    <w:p w14:paraId="2D2E6587" w14:textId="7251D5FB" w:rsidR="002404DD" w:rsidRDefault="007272C0" w:rsidP="002404DD">
      <w:pPr>
        <w:spacing w:after="0"/>
        <w:rPr>
          <w:rFonts w:cstheme="minorHAnsi"/>
        </w:rPr>
      </w:pPr>
      <w:r w:rsidRPr="00DD4E2C">
        <w:rPr>
          <w:rFonts w:cstheme="minorHAnsi"/>
          <w:b/>
          <w:bCs/>
        </w:rPr>
        <w:t>la scuola dell’infanzia</w:t>
      </w:r>
      <w:r w:rsidR="00DD4E2C">
        <w:rPr>
          <w:rFonts w:cstheme="minorHAnsi"/>
          <w:b/>
          <w:bCs/>
        </w:rPr>
        <w:t>,</w:t>
      </w:r>
      <w:r w:rsidRPr="00777689">
        <w:rPr>
          <w:rFonts w:cstheme="minorHAnsi"/>
        </w:rPr>
        <w:t xml:space="preserve"> conosciuta anche come scuola materna fino ai 5 anni</w:t>
      </w:r>
      <w:r w:rsidR="002404DD">
        <w:rPr>
          <w:rFonts w:cstheme="minorHAnsi"/>
        </w:rPr>
        <w:t>,</w:t>
      </w:r>
      <w:r w:rsidR="00DD4E2C">
        <w:rPr>
          <w:rFonts w:cstheme="minorHAnsi"/>
        </w:rPr>
        <w:t xml:space="preserve"> ha </w:t>
      </w:r>
      <w:r w:rsidRPr="00777689">
        <w:rPr>
          <w:rFonts w:cstheme="minorHAnsi"/>
        </w:rPr>
        <w:t>26</w:t>
      </w:r>
      <w:r w:rsidR="00DD4E2C">
        <w:rPr>
          <w:rFonts w:cstheme="minorHAnsi"/>
        </w:rPr>
        <w:t xml:space="preserve"> sedi</w:t>
      </w:r>
      <w:r w:rsidR="002404DD">
        <w:rPr>
          <w:rFonts w:cstheme="minorHAnsi"/>
        </w:rPr>
        <w:t>:</w:t>
      </w:r>
    </w:p>
    <w:p w14:paraId="5C912D17" w14:textId="77777777" w:rsidR="003147CE" w:rsidRDefault="003147CE" w:rsidP="002404DD">
      <w:pPr>
        <w:spacing w:after="0"/>
        <w:rPr>
          <w:rFonts w:cstheme="minorHAnsi"/>
        </w:rPr>
      </w:pPr>
    </w:p>
    <w:p w14:paraId="4D34E18A" w14:textId="77777777" w:rsidR="003147CE" w:rsidRPr="003147CE" w:rsidRDefault="007272C0" w:rsidP="002404DD">
      <w:pPr>
        <w:spacing w:after="0"/>
        <w:rPr>
          <w:rFonts w:cstheme="minorHAnsi"/>
          <w:i/>
          <w:iCs/>
        </w:rPr>
      </w:pPr>
      <w:r w:rsidRPr="003147CE">
        <w:rPr>
          <w:rFonts w:cstheme="minorHAnsi"/>
          <w:i/>
          <w:iCs/>
        </w:rPr>
        <w:t>17 statali</w:t>
      </w:r>
    </w:p>
    <w:p w14:paraId="780056A5" w14:textId="06635F56" w:rsidR="003147CE" w:rsidRDefault="00EC5FE8" w:rsidP="002404DD">
      <w:pPr>
        <w:spacing w:after="0"/>
        <w:rPr>
          <w:rFonts w:eastAsia="Times New Roman" w:cstheme="minorHAnsi"/>
          <w:lang w:eastAsia="it-IT"/>
        </w:rPr>
      </w:pPr>
      <w:r w:rsidRPr="00777689">
        <w:rPr>
          <w:rFonts w:cstheme="minorHAnsi"/>
        </w:rPr>
        <w:t xml:space="preserve"> </w:t>
      </w:r>
      <w:r w:rsidRPr="00777689">
        <w:rPr>
          <w:rFonts w:eastAsia="Times New Roman" w:cstheme="minorHAnsi"/>
          <w:lang w:eastAsia="it-IT"/>
        </w:rPr>
        <w:t>Carolina Tagliaferri</w:t>
      </w:r>
    </w:p>
    <w:p w14:paraId="2FCBE744" w14:textId="5D23D4F8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Collodi</w:t>
      </w:r>
    </w:p>
    <w:p w14:paraId="4882BCF3" w14:textId="4594DB1B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Golgota </w:t>
      </w:r>
    </w:p>
    <w:p w14:paraId="1B453F06" w14:textId="42AE07EF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Istituto Viti Maino</w:t>
      </w:r>
    </w:p>
    <w:p w14:paraId="012362E0" w14:textId="42A53A8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IV </w:t>
      </w:r>
      <w:proofErr w:type="gramStart"/>
      <w:r w:rsidRPr="00777689">
        <w:rPr>
          <w:rFonts w:cstheme="minorHAnsi"/>
        </w:rPr>
        <w:t>Novembre</w:t>
      </w:r>
      <w:proofErr w:type="gramEnd"/>
    </w:p>
    <w:p w14:paraId="79BED143" w14:textId="7777777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M. </w:t>
      </w:r>
      <w:proofErr w:type="spellStart"/>
      <w:r w:rsidRPr="00777689">
        <w:rPr>
          <w:rFonts w:cstheme="minorHAnsi"/>
        </w:rPr>
        <w:t>Calvat</w:t>
      </w:r>
      <w:proofErr w:type="spellEnd"/>
      <w:r w:rsidR="000101F2" w:rsidRPr="00777689">
        <w:rPr>
          <w:rFonts w:cstheme="minorHAnsi"/>
        </w:rPr>
        <w:t xml:space="preserve"> </w:t>
      </w:r>
    </w:p>
    <w:p w14:paraId="452F54D4" w14:textId="3E85DF88" w:rsidR="003147CE" w:rsidRDefault="000101F2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Karol </w:t>
      </w:r>
      <w:proofErr w:type="spellStart"/>
      <w:r w:rsidRPr="00777689">
        <w:rPr>
          <w:rFonts w:cstheme="minorHAnsi"/>
        </w:rPr>
        <w:t>Woityla</w:t>
      </w:r>
      <w:proofErr w:type="spellEnd"/>
    </w:p>
    <w:p w14:paraId="1BBCC749" w14:textId="3435ED59" w:rsidR="003147CE" w:rsidRDefault="003147CE" w:rsidP="002404DD">
      <w:pPr>
        <w:spacing w:after="0"/>
        <w:rPr>
          <w:rFonts w:cstheme="minorHAnsi"/>
        </w:rPr>
      </w:pPr>
      <w:r>
        <w:rPr>
          <w:rFonts w:cstheme="minorHAnsi"/>
        </w:rPr>
        <w:t xml:space="preserve">Maria </w:t>
      </w:r>
      <w:r w:rsidR="00EC5FE8" w:rsidRPr="00777689">
        <w:rPr>
          <w:rFonts w:cstheme="minorHAnsi"/>
        </w:rPr>
        <w:t>Montessori</w:t>
      </w:r>
      <w:r w:rsidR="000101F2" w:rsidRPr="00777689">
        <w:rPr>
          <w:rFonts w:cstheme="minorHAnsi"/>
        </w:rPr>
        <w:t xml:space="preserve"> </w:t>
      </w:r>
    </w:p>
    <w:p w14:paraId="76D35C7E" w14:textId="328A29FB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Ofanto</w:t>
      </w:r>
    </w:p>
    <w:p w14:paraId="291283EA" w14:textId="7979628A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Piazza De Napoli </w:t>
      </w:r>
    </w:p>
    <w:p w14:paraId="4554D93B" w14:textId="7777777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Gianni Rodari </w:t>
      </w:r>
    </w:p>
    <w:p w14:paraId="153E09A4" w14:textId="7777777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Salvatore Livrieri </w:t>
      </w:r>
    </w:p>
    <w:p w14:paraId="5687FDE3" w14:textId="7777777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Via delle Cappelle </w:t>
      </w:r>
    </w:p>
    <w:p w14:paraId="0D6D614D" w14:textId="7777777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Via G. B. Castelli, </w:t>
      </w:r>
    </w:p>
    <w:p w14:paraId="34A0F4A9" w14:textId="77777777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Via Piccinni, </w:t>
      </w:r>
    </w:p>
    <w:p w14:paraId="52E11697" w14:textId="157A5426" w:rsidR="003147CE" w:rsidRDefault="00EC5FE8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Via Pordenone</w:t>
      </w:r>
    </w:p>
    <w:p w14:paraId="059A97E9" w14:textId="77777777" w:rsidR="003147CE" w:rsidRDefault="00EC5FE8" w:rsidP="002404DD">
      <w:pPr>
        <w:spacing w:after="0"/>
        <w:rPr>
          <w:rFonts w:cstheme="minorHAnsi"/>
        </w:rPr>
      </w:pPr>
      <w:proofErr w:type="spellStart"/>
      <w:r w:rsidRPr="00777689">
        <w:rPr>
          <w:rFonts w:cstheme="minorHAnsi"/>
        </w:rPr>
        <w:t>Vicenti</w:t>
      </w:r>
      <w:proofErr w:type="spellEnd"/>
      <w:r w:rsidRPr="00777689">
        <w:rPr>
          <w:rFonts w:cstheme="minorHAnsi"/>
        </w:rPr>
        <w:br/>
      </w:r>
    </w:p>
    <w:p w14:paraId="4762C6F1" w14:textId="77777777" w:rsidR="003147CE" w:rsidRDefault="007272C0" w:rsidP="002404DD">
      <w:pPr>
        <w:spacing w:after="0"/>
        <w:rPr>
          <w:rFonts w:cstheme="minorHAnsi"/>
        </w:rPr>
      </w:pPr>
      <w:r w:rsidRPr="003147CE">
        <w:rPr>
          <w:rFonts w:cstheme="minorHAnsi"/>
          <w:i/>
          <w:iCs/>
        </w:rPr>
        <w:t>9 paritarie</w:t>
      </w:r>
      <w:r w:rsidR="000101F2" w:rsidRPr="00777689">
        <w:rPr>
          <w:rFonts w:cstheme="minorHAnsi"/>
        </w:rPr>
        <w:t xml:space="preserve"> </w:t>
      </w:r>
    </w:p>
    <w:p w14:paraId="13BC2402" w14:textId="77777777" w:rsidR="003147CE" w:rsidRDefault="000101F2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Caterina Volpicelli</w:t>
      </w:r>
    </w:p>
    <w:p w14:paraId="78D9B8AE" w14:textId="1BDEE245" w:rsidR="003147CE" w:rsidRDefault="003147CE" w:rsidP="002404DD">
      <w:pPr>
        <w:spacing w:after="0"/>
        <w:rPr>
          <w:rFonts w:cstheme="minorHAnsi"/>
        </w:rPr>
      </w:pPr>
      <w:r>
        <w:rPr>
          <w:rFonts w:cstheme="minorHAnsi"/>
        </w:rPr>
        <w:t>Maria</w:t>
      </w:r>
      <w:r w:rsidR="000101F2" w:rsidRPr="00777689">
        <w:rPr>
          <w:rFonts w:cstheme="minorHAnsi"/>
        </w:rPr>
        <w:t xml:space="preserve"> Montessori</w:t>
      </w:r>
    </w:p>
    <w:p w14:paraId="4A814194" w14:textId="2D8554D3" w:rsidR="003147CE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Pasquale e Maria Sabini</w:t>
      </w:r>
    </w:p>
    <w:p w14:paraId="19089C71" w14:textId="77777777" w:rsidR="003147CE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Aurora </w:t>
      </w:r>
    </w:p>
    <w:p w14:paraId="101C6CC4" w14:textId="77777777" w:rsidR="003147CE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Bimbo club</w:t>
      </w:r>
    </w:p>
    <w:p w14:paraId="502EC8EE" w14:textId="5B741A29" w:rsidR="003147CE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Antoniana </w:t>
      </w:r>
    </w:p>
    <w:p w14:paraId="22374596" w14:textId="77777777" w:rsidR="003147CE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Il giardino dell’infanzia</w:t>
      </w:r>
    </w:p>
    <w:p w14:paraId="02CB6CCF" w14:textId="6C509C92" w:rsidR="003147CE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Centro educativo Parco San Giuliano</w:t>
      </w:r>
    </w:p>
    <w:p w14:paraId="325AFF45" w14:textId="5119F81F" w:rsidR="00F14A8B" w:rsidRPr="00777689" w:rsidRDefault="00040445" w:rsidP="002404DD">
      <w:pPr>
        <w:spacing w:after="0"/>
        <w:rPr>
          <w:rFonts w:cstheme="minorHAnsi"/>
        </w:rPr>
      </w:pPr>
      <w:r w:rsidRPr="00777689">
        <w:rPr>
          <w:rFonts w:cstheme="minorHAnsi"/>
        </w:rPr>
        <w:t>La bacchetta Magica.</w:t>
      </w:r>
    </w:p>
    <w:p w14:paraId="5B9AB9FF" w14:textId="77777777" w:rsidR="002404DD" w:rsidRDefault="002404DD" w:rsidP="00040445">
      <w:pPr>
        <w:spacing w:after="0"/>
        <w:rPr>
          <w:rFonts w:cstheme="minorHAnsi"/>
          <w:b/>
          <w:bCs/>
        </w:rPr>
      </w:pPr>
    </w:p>
    <w:p w14:paraId="6AF5B486" w14:textId="77777777" w:rsidR="003147CE" w:rsidRDefault="003147CE" w:rsidP="00040445">
      <w:pPr>
        <w:spacing w:after="0"/>
        <w:rPr>
          <w:rFonts w:cstheme="minorHAnsi"/>
          <w:b/>
          <w:bCs/>
        </w:rPr>
      </w:pPr>
    </w:p>
    <w:p w14:paraId="1E48881A" w14:textId="716048D5" w:rsidR="007272C0" w:rsidRDefault="007272C0" w:rsidP="00040445">
      <w:pPr>
        <w:spacing w:after="0"/>
        <w:rPr>
          <w:rFonts w:cstheme="minorHAnsi"/>
        </w:rPr>
      </w:pPr>
      <w:r w:rsidRPr="00777689">
        <w:rPr>
          <w:rFonts w:cstheme="minorHAnsi"/>
          <w:b/>
          <w:bCs/>
        </w:rPr>
        <w:t>La scuola primaria</w:t>
      </w:r>
      <w:r w:rsidR="005E6428" w:rsidRPr="00777689">
        <w:rPr>
          <w:rFonts w:cstheme="minorHAnsi"/>
        </w:rPr>
        <w:t xml:space="preserve">, la scuola elementare </w:t>
      </w:r>
      <w:r w:rsidRPr="00777689">
        <w:rPr>
          <w:rFonts w:cstheme="minorHAnsi"/>
        </w:rPr>
        <w:t xml:space="preserve">frequentata da bambini da 5 </w:t>
      </w:r>
      <w:r w:rsidR="005E6428" w:rsidRPr="00777689">
        <w:rPr>
          <w:rFonts w:cstheme="minorHAnsi"/>
        </w:rPr>
        <w:t>a</w:t>
      </w:r>
      <w:r w:rsidRPr="00777689">
        <w:rPr>
          <w:rFonts w:cstheme="minorHAnsi"/>
        </w:rPr>
        <w:t xml:space="preserve"> 11 anni </w:t>
      </w:r>
      <w:r w:rsidR="005E6428" w:rsidRPr="00777689">
        <w:rPr>
          <w:rFonts w:cstheme="minorHAnsi"/>
        </w:rPr>
        <w:t>ne comprende 15 tutte statali</w:t>
      </w:r>
      <w:r w:rsidR="003147CE">
        <w:rPr>
          <w:rFonts w:cstheme="minorHAnsi"/>
        </w:rPr>
        <w:t>:</w:t>
      </w:r>
    </w:p>
    <w:p w14:paraId="091968F6" w14:textId="77777777" w:rsidR="003147CE" w:rsidRPr="00777689" w:rsidRDefault="003147CE" w:rsidP="00040445">
      <w:pPr>
        <w:spacing w:after="0"/>
        <w:rPr>
          <w:rFonts w:cstheme="minorHAnsi"/>
        </w:rPr>
      </w:pPr>
    </w:p>
    <w:p w14:paraId="59FE553C" w14:textId="15D715C2" w:rsidR="00040445" w:rsidRPr="00777689" w:rsidRDefault="00040445" w:rsidP="00040445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1 C.D. IV </w:t>
      </w:r>
      <w:proofErr w:type="gramStart"/>
      <w:r w:rsidRPr="00777689">
        <w:rPr>
          <w:rFonts w:cstheme="minorHAnsi"/>
        </w:rPr>
        <w:t>Novembre</w:t>
      </w:r>
      <w:proofErr w:type="gramEnd"/>
      <w:r w:rsidRPr="00777689">
        <w:rPr>
          <w:rFonts w:cstheme="minorHAnsi"/>
        </w:rPr>
        <w:t xml:space="preserve"> sed</w:t>
      </w:r>
      <w:r w:rsidR="003147CE">
        <w:rPr>
          <w:rFonts w:cstheme="minorHAnsi"/>
        </w:rPr>
        <w:t>e</w:t>
      </w:r>
      <w:r w:rsidRPr="00777689">
        <w:rPr>
          <w:rFonts w:cstheme="minorHAnsi"/>
        </w:rPr>
        <w:t xml:space="preserve"> principale</w:t>
      </w:r>
    </w:p>
    <w:p w14:paraId="193B13F6" w14:textId="37F5F114" w:rsidR="00040445" w:rsidRPr="00777689" w:rsidRDefault="00040445" w:rsidP="00040445">
      <w:pPr>
        <w:spacing w:after="0"/>
        <w:rPr>
          <w:rFonts w:cstheme="minorHAnsi"/>
        </w:rPr>
      </w:pPr>
      <w:bookmarkStart w:id="0" w:name="_Hlk66788646"/>
      <w:r w:rsidRPr="00777689">
        <w:rPr>
          <w:rFonts w:cstheme="minorHAnsi"/>
        </w:rPr>
        <w:t xml:space="preserve">1 C.D. IV </w:t>
      </w:r>
      <w:proofErr w:type="gramStart"/>
      <w:r w:rsidRPr="00777689">
        <w:rPr>
          <w:rFonts w:cstheme="minorHAnsi"/>
        </w:rPr>
        <w:t>Novembre</w:t>
      </w:r>
      <w:proofErr w:type="gramEnd"/>
      <w:r w:rsidRPr="00777689">
        <w:rPr>
          <w:rFonts w:cstheme="minorHAnsi"/>
        </w:rPr>
        <w:t xml:space="preserve"> sedi</w:t>
      </w:r>
      <w:bookmarkEnd w:id="0"/>
      <w:r w:rsidRPr="00777689">
        <w:rPr>
          <w:rFonts w:cstheme="minorHAnsi"/>
        </w:rPr>
        <w:t xml:space="preserve"> staccate (via Petrarca, IV Novembre, Istituto Viti Maino, Viale Martiri 1799)</w:t>
      </w:r>
    </w:p>
    <w:p w14:paraId="712E4BBA" w14:textId="6191CC7F" w:rsidR="00040445" w:rsidRPr="00777689" w:rsidRDefault="00040445" w:rsidP="00FF5218">
      <w:pPr>
        <w:spacing w:after="0"/>
        <w:ind w:firstLine="708"/>
        <w:rPr>
          <w:rFonts w:cstheme="minorHAnsi"/>
        </w:rPr>
      </w:pPr>
      <w:r w:rsidRPr="00777689">
        <w:rPr>
          <w:rFonts w:cstheme="minorHAnsi"/>
        </w:rPr>
        <w:t>Viti Maino</w:t>
      </w:r>
    </w:p>
    <w:p w14:paraId="315F03D2" w14:textId="2B385AF0" w:rsidR="00040445" w:rsidRPr="00777689" w:rsidRDefault="00040445" w:rsidP="00FF5218">
      <w:pPr>
        <w:spacing w:after="0"/>
        <w:ind w:firstLine="708"/>
        <w:rPr>
          <w:rFonts w:cstheme="minorHAnsi"/>
        </w:rPr>
      </w:pPr>
      <w:r w:rsidRPr="00777689">
        <w:rPr>
          <w:rFonts w:cstheme="minorHAnsi"/>
        </w:rPr>
        <w:t>Viale Martiri</w:t>
      </w:r>
    </w:p>
    <w:p w14:paraId="2C05650F" w14:textId="005C71F7" w:rsidR="00040445" w:rsidRPr="00777689" w:rsidRDefault="00040445" w:rsidP="00040445">
      <w:pPr>
        <w:spacing w:after="0"/>
        <w:rPr>
          <w:rFonts w:cstheme="minorHAnsi"/>
        </w:rPr>
      </w:pPr>
      <w:r w:rsidRPr="00777689">
        <w:rPr>
          <w:rFonts w:cstheme="minorHAnsi"/>
        </w:rPr>
        <w:t>2</w:t>
      </w:r>
      <w:r w:rsidR="00632EAD" w:rsidRPr="00777689">
        <w:rPr>
          <w:rFonts w:cstheme="minorHAnsi"/>
        </w:rPr>
        <w:t xml:space="preserve"> </w:t>
      </w:r>
      <w:r w:rsidRPr="00777689">
        <w:rPr>
          <w:rFonts w:cstheme="minorHAnsi"/>
        </w:rPr>
        <w:t>C. D.</w:t>
      </w:r>
      <w:r w:rsidR="00632EAD" w:rsidRPr="00777689">
        <w:rPr>
          <w:rFonts w:cstheme="minorHAnsi"/>
        </w:rPr>
        <w:t xml:space="preserve"> Garibaldi</w:t>
      </w:r>
      <w:r w:rsidRPr="00777689">
        <w:rPr>
          <w:rFonts w:cstheme="minorHAnsi"/>
        </w:rPr>
        <w:t xml:space="preserve"> sede principale</w:t>
      </w:r>
    </w:p>
    <w:p w14:paraId="1DFFFE4D" w14:textId="758CD237" w:rsidR="00040445" w:rsidRPr="00777689" w:rsidRDefault="00040445" w:rsidP="00040445">
      <w:pPr>
        <w:spacing w:after="0"/>
        <w:rPr>
          <w:rFonts w:cstheme="minorHAnsi"/>
        </w:rPr>
      </w:pPr>
      <w:r w:rsidRPr="00777689">
        <w:rPr>
          <w:rFonts w:cstheme="minorHAnsi"/>
        </w:rPr>
        <w:t>2</w:t>
      </w:r>
      <w:r w:rsidR="00632EAD" w:rsidRPr="00777689">
        <w:rPr>
          <w:rFonts w:cstheme="minorHAnsi"/>
        </w:rPr>
        <w:t xml:space="preserve"> </w:t>
      </w:r>
      <w:r w:rsidRPr="00777689">
        <w:rPr>
          <w:rFonts w:cstheme="minorHAnsi"/>
        </w:rPr>
        <w:t xml:space="preserve">C. D. </w:t>
      </w:r>
      <w:r w:rsidR="00632EAD" w:rsidRPr="00777689">
        <w:rPr>
          <w:rFonts w:cstheme="minorHAnsi"/>
        </w:rPr>
        <w:t xml:space="preserve">Garibaldi </w:t>
      </w:r>
      <w:r w:rsidRPr="00777689">
        <w:rPr>
          <w:rFonts w:cstheme="minorHAnsi"/>
        </w:rPr>
        <w:t>sed</w:t>
      </w:r>
      <w:r w:rsidR="00632EAD" w:rsidRPr="00777689">
        <w:rPr>
          <w:rFonts w:cstheme="minorHAnsi"/>
        </w:rPr>
        <w:t>i</w:t>
      </w:r>
      <w:r w:rsidRPr="00777689">
        <w:rPr>
          <w:rFonts w:cstheme="minorHAnsi"/>
        </w:rPr>
        <w:t xml:space="preserve"> </w:t>
      </w:r>
      <w:r w:rsidR="00632EAD" w:rsidRPr="00777689">
        <w:rPr>
          <w:rFonts w:cstheme="minorHAnsi"/>
        </w:rPr>
        <w:t>staccate</w:t>
      </w:r>
    </w:p>
    <w:p w14:paraId="4C952EDF" w14:textId="776A690C" w:rsidR="00632EAD" w:rsidRPr="00777689" w:rsidRDefault="00632EAD" w:rsidP="00040445">
      <w:pPr>
        <w:spacing w:after="0"/>
        <w:rPr>
          <w:rFonts w:cstheme="minorHAnsi"/>
        </w:rPr>
      </w:pPr>
      <w:r w:rsidRPr="00777689">
        <w:rPr>
          <w:rFonts w:cstheme="minorHAnsi"/>
        </w:rPr>
        <w:t>2 C.D.  Aldo Moro via Ofanto</w:t>
      </w:r>
    </w:p>
    <w:p w14:paraId="590C9BC2" w14:textId="4A211B8A" w:rsidR="00632EAD" w:rsidRPr="00777689" w:rsidRDefault="00632EAD" w:rsidP="00632EAD">
      <w:pPr>
        <w:spacing w:after="0"/>
        <w:rPr>
          <w:rFonts w:cstheme="minorHAnsi"/>
        </w:rPr>
      </w:pPr>
      <w:bookmarkStart w:id="1" w:name="_Hlk66789134"/>
      <w:r w:rsidRPr="00777689">
        <w:rPr>
          <w:rFonts w:cstheme="minorHAnsi"/>
        </w:rPr>
        <w:t xml:space="preserve">3 C.D.  Roncalli </w:t>
      </w:r>
      <w:r w:rsidR="003147CE">
        <w:rPr>
          <w:rFonts w:cstheme="minorHAnsi"/>
        </w:rPr>
        <w:t>v</w:t>
      </w:r>
      <w:r w:rsidRPr="00777689">
        <w:rPr>
          <w:rFonts w:cstheme="minorHAnsi"/>
        </w:rPr>
        <w:t>ia Minniti</w:t>
      </w:r>
      <w:bookmarkEnd w:id="1"/>
    </w:p>
    <w:p w14:paraId="441D5E8D" w14:textId="3C42EA04" w:rsidR="00632EAD" w:rsidRPr="00777689" w:rsidRDefault="00632EAD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3 C.D.  Roncalli </w:t>
      </w:r>
      <w:r w:rsidR="003147CE">
        <w:rPr>
          <w:rFonts w:cstheme="minorHAnsi"/>
        </w:rPr>
        <w:t>v</w:t>
      </w:r>
      <w:r w:rsidRPr="00777689">
        <w:rPr>
          <w:rFonts w:cstheme="minorHAnsi"/>
        </w:rPr>
        <w:t>ia Piccinni</w:t>
      </w:r>
    </w:p>
    <w:p w14:paraId="75611807" w14:textId="423C84F3" w:rsidR="00632EAD" w:rsidRPr="00777689" w:rsidRDefault="00632EAD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lastRenderedPageBreak/>
        <w:t>3 C.D   Madre Teresa di Calcutta</w:t>
      </w:r>
    </w:p>
    <w:p w14:paraId="26C5289C" w14:textId="6605DAD5" w:rsidR="00632EAD" w:rsidRPr="00777689" w:rsidRDefault="00632EAD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t>5 C.D. S. Francesco d’Assisi Via Pompei</w:t>
      </w:r>
      <w:r w:rsidR="00FF5218" w:rsidRPr="00777689">
        <w:rPr>
          <w:rFonts w:cstheme="minorHAnsi"/>
        </w:rPr>
        <w:t xml:space="preserve"> con sedi staccate</w:t>
      </w:r>
    </w:p>
    <w:p w14:paraId="6AEE9DD4" w14:textId="060E83D7" w:rsidR="00632EAD" w:rsidRPr="00777689" w:rsidRDefault="00632EAD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t>5 C.D.</w:t>
      </w:r>
      <w:r w:rsidR="00FF5218" w:rsidRPr="00777689">
        <w:rPr>
          <w:rFonts w:cstheme="minorHAnsi"/>
        </w:rPr>
        <w:t xml:space="preserve"> S. Francesco d’Assisi Via Pompei</w:t>
      </w:r>
    </w:p>
    <w:p w14:paraId="75E48B1F" w14:textId="5897CA6E" w:rsidR="00FF5218" w:rsidRPr="00777689" w:rsidRDefault="00FF5218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t>6 C.D. Don L. Milani con sedi staccate</w:t>
      </w:r>
    </w:p>
    <w:p w14:paraId="523DC716" w14:textId="6383DB29" w:rsidR="00FF5218" w:rsidRPr="00777689" w:rsidRDefault="00FF5218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t>7 C.D. Don L. Milani Via Golgota</w:t>
      </w:r>
    </w:p>
    <w:p w14:paraId="547B9527" w14:textId="4FD08A56" w:rsidR="00FF5218" w:rsidRPr="00777689" w:rsidRDefault="00FF5218" w:rsidP="00632EAD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            San Giovanni Bosco (</w:t>
      </w:r>
      <w:r w:rsidR="003147CE">
        <w:rPr>
          <w:rFonts w:cstheme="minorHAnsi"/>
        </w:rPr>
        <w:t xml:space="preserve">Istituto comprensivo con la scuola media </w:t>
      </w:r>
      <w:r w:rsidRPr="00777689">
        <w:rPr>
          <w:rFonts w:cstheme="minorHAnsi"/>
        </w:rPr>
        <w:t>Tommaso Fiore)</w:t>
      </w:r>
    </w:p>
    <w:p w14:paraId="08635CE1" w14:textId="77777777" w:rsidR="00632EAD" w:rsidRPr="00777689" w:rsidRDefault="00632EAD" w:rsidP="00632EAD">
      <w:pPr>
        <w:spacing w:after="0"/>
        <w:rPr>
          <w:rFonts w:cstheme="minorHAnsi"/>
        </w:rPr>
      </w:pPr>
    </w:p>
    <w:p w14:paraId="5A27908B" w14:textId="77777777" w:rsidR="003147CE" w:rsidRDefault="005E6428" w:rsidP="005E6428">
      <w:pPr>
        <w:rPr>
          <w:rFonts w:cstheme="minorHAnsi"/>
        </w:rPr>
      </w:pPr>
      <w:r w:rsidRPr="00777689">
        <w:rPr>
          <w:rFonts w:cstheme="minorHAnsi"/>
          <w:b/>
          <w:bCs/>
        </w:rPr>
        <w:t xml:space="preserve">La </w:t>
      </w:r>
      <w:bookmarkStart w:id="2" w:name="_Hlk66726714"/>
      <w:r w:rsidRPr="00777689">
        <w:rPr>
          <w:rFonts w:cstheme="minorHAnsi"/>
          <w:b/>
          <w:bCs/>
        </w:rPr>
        <w:t>scuola secondari</w:t>
      </w:r>
      <w:r w:rsidR="00777689" w:rsidRPr="00777689">
        <w:rPr>
          <w:rFonts w:cstheme="minorHAnsi"/>
          <w:b/>
          <w:bCs/>
        </w:rPr>
        <w:t>a</w:t>
      </w:r>
      <w:r w:rsidRPr="00777689">
        <w:rPr>
          <w:rFonts w:cstheme="minorHAnsi"/>
          <w:b/>
          <w:bCs/>
        </w:rPr>
        <w:t xml:space="preserve"> di primo grado</w:t>
      </w:r>
      <w:r w:rsidRPr="00777689">
        <w:rPr>
          <w:rFonts w:cstheme="minorHAnsi"/>
        </w:rPr>
        <w:t xml:space="preserve"> comprende </w:t>
      </w:r>
      <w:bookmarkEnd w:id="2"/>
      <w:r w:rsidRPr="00777689">
        <w:rPr>
          <w:rFonts w:cstheme="minorHAnsi"/>
        </w:rPr>
        <w:t>5 sedi scolastiche:</w:t>
      </w:r>
    </w:p>
    <w:p w14:paraId="7D19F389" w14:textId="77777777" w:rsidR="003147CE" w:rsidRDefault="005E6428" w:rsidP="003147CE">
      <w:pPr>
        <w:spacing w:after="0"/>
        <w:rPr>
          <w:rFonts w:cstheme="minorHAnsi"/>
        </w:rPr>
      </w:pPr>
      <w:r w:rsidRPr="00777689">
        <w:rPr>
          <w:rFonts w:cstheme="minorHAnsi"/>
        </w:rPr>
        <w:t>Mercadante</w:t>
      </w:r>
    </w:p>
    <w:p w14:paraId="526D4346" w14:textId="44BAC20D" w:rsidR="003147CE" w:rsidRDefault="005E6428" w:rsidP="003147CE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Padre Pio </w:t>
      </w:r>
    </w:p>
    <w:p w14:paraId="4B8A407A" w14:textId="77777777" w:rsidR="003147CE" w:rsidRDefault="005E6428" w:rsidP="003147CE">
      <w:pPr>
        <w:spacing w:after="0"/>
        <w:rPr>
          <w:rFonts w:cstheme="minorHAnsi"/>
        </w:rPr>
      </w:pPr>
      <w:r w:rsidRPr="00777689">
        <w:rPr>
          <w:rFonts w:cstheme="minorHAnsi"/>
        </w:rPr>
        <w:t xml:space="preserve">Ottavio Serena </w:t>
      </w:r>
    </w:p>
    <w:p w14:paraId="10AEBA2A" w14:textId="77777777" w:rsidR="003147CE" w:rsidRDefault="005E6428" w:rsidP="003147CE">
      <w:pPr>
        <w:spacing w:after="0"/>
        <w:rPr>
          <w:rFonts w:cstheme="minorHAnsi"/>
        </w:rPr>
      </w:pPr>
      <w:r w:rsidRPr="00777689">
        <w:rPr>
          <w:rFonts w:cstheme="minorHAnsi"/>
        </w:rPr>
        <w:t>CPIA 2 Bari  (</w:t>
      </w:r>
      <w:hyperlink r:id="rId4" w:anchor="BACT70700B" w:history="1">
        <w:r w:rsidRPr="00777689">
          <w:rPr>
            <w:rStyle w:val="Collegamentoipertestuale"/>
            <w:rFonts w:cstheme="minorHAnsi"/>
            <w:color w:val="auto"/>
            <w:u w:val="none"/>
          </w:rPr>
          <w:t>S.M. Ingannamorte</w:t>
        </w:r>
      </w:hyperlink>
      <w:r w:rsidRPr="00777689">
        <w:rPr>
          <w:rFonts w:cstheme="minorHAnsi"/>
        </w:rPr>
        <w:t> - Gravina in Puglia</w:t>
      </w:r>
      <w:r w:rsidR="00AF6F8A" w:rsidRPr="00777689">
        <w:rPr>
          <w:rFonts w:cstheme="minorHAnsi"/>
        </w:rPr>
        <w:t>,</w:t>
      </w:r>
      <w:r w:rsidRPr="00777689">
        <w:rPr>
          <w:rFonts w:cstheme="minorHAnsi"/>
        </w:rPr>
        <w:t> </w:t>
      </w:r>
      <w:hyperlink r:id="rId5" w:anchor="BACT71200V" w:history="1">
        <w:r w:rsidRPr="00777689">
          <w:rPr>
            <w:rStyle w:val="Collegamentoipertestuale"/>
            <w:rFonts w:cstheme="minorHAnsi"/>
            <w:color w:val="auto"/>
            <w:u w:val="none"/>
          </w:rPr>
          <w:t>S.M. d'Assisi</w:t>
        </w:r>
      </w:hyperlink>
      <w:r w:rsidRPr="00777689">
        <w:rPr>
          <w:rFonts w:cstheme="minorHAnsi"/>
        </w:rPr>
        <w:t> </w:t>
      </w:r>
      <w:r w:rsidR="00AF6F8A" w:rsidRPr="00777689">
        <w:rPr>
          <w:rFonts w:cstheme="minorHAnsi"/>
        </w:rPr>
        <w:t>–</w:t>
      </w:r>
      <w:r w:rsidRPr="00777689">
        <w:rPr>
          <w:rFonts w:cstheme="minorHAnsi"/>
        </w:rPr>
        <w:t xml:space="preserve"> Modugno</w:t>
      </w:r>
      <w:r w:rsidR="00AF6F8A" w:rsidRPr="00777689">
        <w:rPr>
          <w:rFonts w:cstheme="minorHAnsi"/>
        </w:rPr>
        <w:t xml:space="preserve">, </w:t>
      </w:r>
      <w:hyperlink r:id="rId6" w:anchor="BACT71300P" w:history="1">
        <w:r w:rsidRPr="00777689">
          <w:rPr>
            <w:rStyle w:val="Collegamentoipertestuale"/>
            <w:rFonts w:cstheme="minorHAnsi"/>
            <w:color w:val="auto"/>
            <w:u w:val="none"/>
          </w:rPr>
          <w:t>S.M. di Zonno De Amicis</w:t>
        </w:r>
      </w:hyperlink>
      <w:r w:rsidRPr="00777689">
        <w:rPr>
          <w:rFonts w:cstheme="minorHAnsi"/>
        </w:rPr>
        <w:t> </w:t>
      </w:r>
      <w:r w:rsidR="00AF6F8A" w:rsidRPr="00777689">
        <w:rPr>
          <w:rFonts w:cstheme="minorHAnsi"/>
        </w:rPr>
        <w:t>–</w:t>
      </w:r>
      <w:r w:rsidRPr="00777689">
        <w:rPr>
          <w:rFonts w:cstheme="minorHAnsi"/>
        </w:rPr>
        <w:t xml:space="preserve"> Triggiano</w:t>
      </w:r>
      <w:r w:rsidR="00AF6F8A" w:rsidRPr="00777689">
        <w:rPr>
          <w:rFonts w:cstheme="minorHAnsi"/>
        </w:rPr>
        <w:t>,</w:t>
      </w:r>
      <w:r w:rsidRPr="00777689">
        <w:rPr>
          <w:rFonts w:cstheme="minorHAnsi"/>
        </w:rPr>
        <w:t> </w:t>
      </w:r>
      <w:hyperlink r:id="rId7" w:anchor="BACT716006" w:history="1">
        <w:r w:rsidRPr="00777689">
          <w:rPr>
            <w:rStyle w:val="Collegamentoipertestuale"/>
            <w:rFonts w:cstheme="minorHAnsi"/>
            <w:color w:val="auto"/>
            <w:u w:val="none"/>
          </w:rPr>
          <w:t>S.M. Galilei</w:t>
        </w:r>
      </w:hyperlink>
      <w:r w:rsidRPr="00777689">
        <w:rPr>
          <w:rFonts w:cstheme="minorHAnsi"/>
        </w:rPr>
        <w:t> </w:t>
      </w:r>
      <w:r w:rsidR="00AF6F8A" w:rsidRPr="00777689">
        <w:rPr>
          <w:rFonts w:cstheme="minorHAnsi"/>
        </w:rPr>
        <w:t>–</w:t>
      </w:r>
      <w:r w:rsidRPr="00777689">
        <w:rPr>
          <w:rFonts w:cstheme="minorHAnsi"/>
        </w:rPr>
        <w:t xml:space="preserve"> Monopoli</w:t>
      </w:r>
      <w:r w:rsidR="00AF6F8A" w:rsidRPr="00777689">
        <w:rPr>
          <w:rFonts w:cstheme="minorHAnsi"/>
        </w:rPr>
        <w:t>,</w:t>
      </w:r>
      <w:r w:rsidRPr="00777689">
        <w:rPr>
          <w:rFonts w:cstheme="minorHAnsi"/>
        </w:rPr>
        <w:t> </w:t>
      </w:r>
      <w:hyperlink r:id="rId8" w:anchor="BACT717002" w:history="1">
        <w:r w:rsidRPr="00777689">
          <w:rPr>
            <w:rStyle w:val="Collegamentoipertestuale"/>
            <w:rFonts w:cstheme="minorHAnsi"/>
            <w:color w:val="auto"/>
            <w:u w:val="none"/>
          </w:rPr>
          <w:t>S.M. Netti</w:t>
        </w:r>
      </w:hyperlink>
      <w:r w:rsidRPr="00777689">
        <w:rPr>
          <w:rFonts w:cstheme="minorHAnsi"/>
        </w:rPr>
        <w:t> - Santeramo in Colle</w:t>
      </w:r>
      <w:r w:rsidR="00AF6F8A" w:rsidRPr="00777689">
        <w:rPr>
          <w:rFonts w:cstheme="minorHAnsi"/>
        </w:rPr>
        <w:t xml:space="preserve">, </w:t>
      </w:r>
      <w:r w:rsidRPr="00777689">
        <w:rPr>
          <w:rFonts w:cstheme="minorHAnsi"/>
        </w:rPr>
        <w:t> </w:t>
      </w:r>
      <w:hyperlink r:id="rId9" w:anchor="BACT71800T" w:history="1">
        <w:r w:rsidRPr="00777689">
          <w:rPr>
            <w:rStyle w:val="Collegamentoipertestuale"/>
            <w:rFonts w:cstheme="minorHAnsi"/>
            <w:color w:val="auto"/>
            <w:u w:val="none"/>
          </w:rPr>
          <w:t>Morea-Tinelli</w:t>
        </w:r>
      </w:hyperlink>
      <w:r w:rsidRPr="00777689">
        <w:rPr>
          <w:rFonts w:cstheme="minorHAnsi"/>
        </w:rPr>
        <w:t> </w:t>
      </w:r>
      <w:r w:rsidR="00AF6F8A" w:rsidRPr="00777689">
        <w:rPr>
          <w:rFonts w:cstheme="minorHAnsi"/>
        </w:rPr>
        <w:t>–</w:t>
      </w:r>
      <w:r w:rsidRPr="00777689">
        <w:rPr>
          <w:rFonts w:cstheme="minorHAnsi"/>
        </w:rPr>
        <w:t xml:space="preserve"> Alberobell</w:t>
      </w:r>
      <w:r w:rsidR="00AF6F8A" w:rsidRPr="00777689">
        <w:rPr>
          <w:rFonts w:cstheme="minorHAnsi"/>
        </w:rPr>
        <w:t xml:space="preserve">o, </w:t>
      </w:r>
      <w:r w:rsidRPr="00777689">
        <w:rPr>
          <w:rFonts w:cstheme="minorHAnsi"/>
        </w:rPr>
        <w:t> </w:t>
      </w:r>
      <w:hyperlink r:id="rId10" w:anchor="BACT724005" w:history="1">
        <w:r w:rsidRPr="00777689">
          <w:rPr>
            <w:rStyle w:val="Collegamentoipertestuale"/>
            <w:rFonts w:cstheme="minorHAnsi"/>
            <w:color w:val="auto"/>
            <w:u w:val="none"/>
          </w:rPr>
          <w:t>Mercadante</w:t>
        </w:r>
      </w:hyperlink>
      <w:r w:rsidR="00447585" w:rsidRPr="00777689">
        <w:rPr>
          <w:rFonts w:cstheme="minorHAnsi"/>
        </w:rPr>
        <w:t xml:space="preserve">) </w:t>
      </w:r>
    </w:p>
    <w:p w14:paraId="13E617DF" w14:textId="2AC4FB0A" w:rsidR="005E6428" w:rsidRDefault="00447585" w:rsidP="003147CE">
      <w:pPr>
        <w:spacing w:after="0"/>
        <w:rPr>
          <w:rFonts w:cstheme="minorHAnsi"/>
        </w:rPr>
      </w:pPr>
      <w:r w:rsidRPr="00777689">
        <w:rPr>
          <w:rFonts w:cstheme="minorHAnsi"/>
        </w:rPr>
        <w:t>Tommaso Fiore (Istituto Comprensivo con San G. Bosco).</w:t>
      </w:r>
    </w:p>
    <w:p w14:paraId="32F2F65D" w14:textId="77777777" w:rsidR="003147CE" w:rsidRPr="00777689" w:rsidRDefault="003147CE" w:rsidP="003147CE">
      <w:pPr>
        <w:spacing w:after="0"/>
        <w:rPr>
          <w:rFonts w:cstheme="minorHAnsi"/>
        </w:rPr>
      </w:pPr>
    </w:p>
    <w:p w14:paraId="72CD5E58" w14:textId="2C3EB121" w:rsidR="00AF6F8A" w:rsidRPr="00777689" w:rsidRDefault="00AF6F8A" w:rsidP="00DD4E2C">
      <w:pPr>
        <w:spacing w:after="0"/>
        <w:rPr>
          <w:rFonts w:cstheme="minorHAnsi"/>
        </w:rPr>
      </w:pPr>
      <w:r w:rsidRPr="00DD4E2C">
        <w:rPr>
          <w:rFonts w:cstheme="minorHAnsi"/>
          <w:b/>
          <w:bCs/>
        </w:rPr>
        <w:t>La scuola secondari</w:t>
      </w:r>
      <w:r w:rsidR="00447585" w:rsidRPr="00DD4E2C">
        <w:rPr>
          <w:rFonts w:cstheme="minorHAnsi"/>
          <w:b/>
          <w:bCs/>
        </w:rPr>
        <w:t>a</w:t>
      </w:r>
      <w:r w:rsidRPr="00DD4E2C">
        <w:rPr>
          <w:rFonts w:cstheme="minorHAnsi"/>
          <w:b/>
          <w:bCs/>
        </w:rPr>
        <w:t xml:space="preserve"> di secondo grado </w:t>
      </w:r>
      <w:r w:rsidRPr="00C51C65">
        <w:rPr>
          <w:rFonts w:cstheme="minorHAnsi"/>
        </w:rPr>
        <w:t>comprende 10 sedi scolastiche</w:t>
      </w:r>
      <w:r w:rsidRPr="00777689">
        <w:rPr>
          <w:rFonts w:cstheme="minorHAnsi"/>
        </w:rPr>
        <w:t>:</w:t>
      </w:r>
    </w:p>
    <w:p w14:paraId="55FD6EFB" w14:textId="77777777" w:rsidR="003147CE" w:rsidRDefault="003147CE" w:rsidP="00DD4E2C">
      <w:pPr>
        <w:spacing w:after="0"/>
        <w:rPr>
          <w:rFonts w:cstheme="minorHAnsi"/>
        </w:rPr>
      </w:pPr>
    </w:p>
    <w:p w14:paraId="590CFAAA" w14:textId="2DE2199D" w:rsidR="00447585" w:rsidRPr="00777689" w:rsidRDefault="00447585" w:rsidP="00DD4E2C">
      <w:pPr>
        <w:spacing w:after="0"/>
        <w:rPr>
          <w:rFonts w:cstheme="minorHAnsi"/>
        </w:rPr>
      </w:pPr>
      <w:r w:rsidRPr="00777689">
        <w:rPr>
          <w:rFonts w:cstheme="minorHAnsi"/>
        </w:rPr>
        <w:t>Liceo Cagnazzi (liceo classico, liceo scienze umane, liceo scienze umane – opzione economico sociale</w:t>
      </w:r>
    </w:p>
    <w:p w14:paraId="171C43A6" w14:textId="77777777" w:rsidR="00DD4E2C" w:rsidRDefault="00447585" w:rsidP="00DD4E2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lang w:eastAsia="it-IT"/>
        </w:rPr>
      </w:pPr>
      <w:r w:rsidRPr="00447585">
        <w:rPr>
          <w:rFonts w:eastAsia="Times New Roman" w:cstheme="minorHAnsi"/>
          <w:lang w:eastAsia="it-IT"/>
        </w:rPr>
        <w:t>Liceo Federico II di Svevia</w:t>
      </w:r>
      <w:r w:rsidR="00DD4E2C">
        <w:rPr>
          <w:rFonts w:eastAsia="Times New Roman" w:cstheme="minorHAnsi"/>
          <w:lang w:eastAsia="it-IT"/>
        </w:rPr>
        <w:t xml:space="preserve"> </w:t>
      </w:r>
    </w:p>
    <w:p w14:paraId="4FF46DE1" w14:textId="77777777" w:rsidR="002404DD" w:rsidRDefault="00447585" w:rsidP="002404D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lang w:eastAsia="it-IT"/>
        </w:rPr>
      </w:pPr>
      <w:r w:rsidRPr="00447585">
        <w:rPr>
          <w:rFonts w:eastAsia="Times New Roman" w:cstheme="minorHAnsi"/>
          <w:shd w:val="clear" w:color="auto" w:fill="FFFFFF"/>
          <w:lang w:eastAsia="it-IT"/>
        </w:rPr>
        <w:t>Istituto Professionale Servizi</w:t>
      </w:r>
      <w:bookmarkStart w:id="3" w:name="_Hlk66790826"/>
    </w:p>
    <w:p w14:paraId="33E95275" w14:textId="733E1E34" w:rsidR="00447585" w:rsidRDefault="002404DD" w:rsidP="002404D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</w:t>
      </w:r>
      <w:r w:rsidR="00447585" w:rsidRPr="00447585">
        <w:rPr>
          <w:rFonts w:eastAsia="Times New Roman" w:cstheme="minorHAnsi"/>
          <w:lang w:eastAsia="it-IT"/>
        </w:rPr>
        <w:t>stituto principale</w:t>
      </w:r>
      <w:r w:rsidR="00447585" w:rsidRPr="00447585">
        <w:rPr>
          <w:rFonts w:eastAsia="Times New Roman" w:cstheme="minorHAnsi"/>
          <w:i/>
          <w:iCs/>
          <w:lang w:eastAsia="it-IT"/>
        </w:rPr>
        <w:t>:</w:t>
      </w:r>
      <w:r w:rsidR="00447585" w:rsidRPr="00447585">
        <w:rPr>
          <w:rFonts w:eastAsia="Times New Roman" w:cstheme="minorHAnsi"/>
          <w:lang w:eastAsia="it-IT"/>
        </w:rPr>
        <w:t> </w:t>
      </w:r>
      <w:hyperlink r:id="rId11" w:anchor="BAIS004007" w:history="1">
        <w:r w:rsidR="00447585" w:rsidRPr="00447585">
          <w:rPr>
            <w:rFonts w:eastAsia="Times New Roman" w:cstheme="minorHAnsi"/>
            <w:lang w:eastAsia="it-IT"/>
          </w:rPr>
          <w:t>Michele De Nora</w:t>
        </w:r>
      </w:hyperlink>
    </w:p>
    <w:bookmarkEnd w:id="3"/>
    <w:p w14:paraId="18C33C42" w14:textId="5367891B" w:rsidR="00852974" w:rsidRPr="00777689" w:rsidRDefault="00852974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Istituto Professionale De Nora – Lorusso</w:t>
      </w:r>
    </w:p>
    <w:p w14:paraId="7D8BEFE1" w14:textId="3DAC6582" w:rsidR="00852974" w:rsidRPr="00777689" w:rsidRDefault="002404DD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</w:t>
      </w:r>
      <w:r w:rsidR="00852974" w:rsidRPr="00447585">
        <w:rPr>
          <w:rFonts w:eastAsia="Times New Roman" w:cstheme="minorHAnsi"/>
          <w:lang w:eastAsia="it-IT"/>
        </w:rPr>
        <w:t>stituto principale</w:t>
      </w:r>
      <w:r w:rsidR="00852974" w:rsidRPr="00447585">
        <w:rPr>
          <w:rFonts w:eastAsia="Times New Roman" w:cstheme="minorHAnsi"/>
          <w:i/>
          <w:iCs/>
          <w:lang w:eastAsia="it-IT"/>
        </w:rPr>
        <w:t>:</w:t>
      </w:r>
      <w:r w:rsidR="00852974" w:rsidRPr="00447585">
        <w:rPr>
          <w:rFonts w:eastAsia="Times New Roman" w:cstheme="minorHAnsi"/>
          <w:lang w:eastAsia="it-IT"/>
        </w:rPr>
        <w:t> </w:t>
      </w:r>
      <w:hyperlink r:id="rId12" w:anchor="BAIS004007" w:history="1">
        <w:r w:rsidR="00852974" w:rsidRPr="00447585">
          <w:rPr>
            <w:rFonts w:eastAsia="Times New Roman" w:cstheme="minorHAnsi"/>
            <w:lang w:eastAsia="it-IT"/>
          </w:rPr>
          <w:t>Michele De Nora</w:t>
        </w:r>
      </w:hyperlink>
      <w:r w:rsidR="00852974" w:rsidRPr="00777689">
        <w:rPr>
          <w:rFonts w:eastAsia="Times New Roman" w:cstheme="minorHAnsi"/>
          <w:lang w:eastAsia="it-IT"/>
        </w:rPr>
        <w:t xml:space="preserve"> Enogastronomia</w:t>
      </w:r>
    </w:p>
    <w:p w14:paraId="1A007121" w14:textId="77777777" w:rsidR="00777689" w:rsidRPr="00777689" w:rsidRDefault="00777689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Istituto Professionale De Nora – Lorusso</w:t>
      </w:r>
    </w:p>
    <w:p w14:paraId="1E00CFD7" w14:textId="59FF8226" w:rsidR="00777689" w:rsidRPr="00777689" w:rsidRDefault="00777689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Corso serale</w:t>
      </w:r>
      <w:r w:rsidRPr="00447585">
        <w:rPr>
          <w:rFonts w:eastAsia="Times New Roman" w:cstheme="minorHAnsi"/>
          <w:i/>
          <w:iCs/>
          <w:lang w:eastAsia="it-IT"/>
        </w:rPr>
        <w:t>:</w:t>
      </w:r>
      <w:r w:rsidRPr="00447585">
        <w:rPr>
          <w:rFonts w:eastAsia="Times New Roman" w:cstheme="minorHAnsi"/>
          <w:lang w:eastAsia="it-IT"/>
        </w:rPr>
        <w:t> </w:t>
      </w:r>
      <w:hyperlink r:id="rId13" w:anchor="BAIS004007" w:history="1">
        <w:r w:rsidRPr="00447585">
          <w:rPr>
            <w:rFonts w:eastAsia="Times New Roman" w:cstheme="minorHAnsi"/>
            <w:lang w:eastAsia="it-IT"/>
          </w:rPr>
          <w:t>Michele De Nora</w:t>
        </w:r>
      </w:hyperlink>
      <w:r w:rsidRPr="00777689">
        <w:rPr>
          <w:rFonts w:eastAsia="Times New Roman" w:cstheme="minorHAnsi"/>
          <w:lang w:eastAsia="it-IT"/>
        </w:rPr>
        <w:t xml:space="preserve"> Enogastronomia</w:t>
      </w:r>
    </w:p>
    <w:p w14:paraId="310C108D" w14:textId="31FB068A" w:rsidR="00852974" w:rsidRPr="00777689" w:rsidRDefault="00852974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bookmarkStart w:id="4" w:name="_Hlk66791282"/>
      <w:r w:rsidRPr="00777689">
        <w:rPr>
          <w:rFonts w:eastAsia="Times New Roman" w:cstheme="minorHAnsi"/>
          <w:lang w:eastAsia="it-IT"/>
        </w:rPr>
        <w:t>Istituto Tecnico Economico F.M. Genco</w:t>
      </w:r>
    </w:p>
    <w:bookmarkEnd w:id="4"/>
    <w:p w14:paraId="17CB8EB0" w14:textId="4CF752C6" w:rsidR="00852974" w:rsidRPr="00777689" w:rsidRDefault="002404DD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</w:t>
      </w:r>
      <w:r w:rsidR="00852974" w:rsidRPr="00777689">
        <w:rPr>
          <w:rFonts w:eastAsia="Times New Roman" w:cstheme="minorHAnsi"/>
          <w:lang w:eastAsia="it-IT"/>
        </w:rPr>
        <w:t xml:space="preserve">ede centrale e Corso serale indirizzo Amministrazione, finanza </w:t>
      </w:r>
      <w:r w:rsidR="00777689" w:rsidRPr="00777689">
        <w:rPr>
          <w:rFonts w:eastAsia="Times New Roman" w:cstheme="minorHAnsi"/>
          <w:lang w:eastAsia="it-IT"/>
        </w:rPr>
        <w:t>e marketing, turismo</w:t>
      </w:r>
    </w:p>
    <w:p w14:paraId="4F0CB13D" w14:textId="7312A59E" w:rsidR="00852974" w:rsidRPr="00777689" w:rsidRDefault="00852974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Istituto Tecnico Economico</w:t>
      </w:r>
    </w:p>
    <w:p w14:paraId="2D688534" w14:textId="43503AC5" w:rsidR="00777689" w:rsidRPr="00777689" w:rsidRDefault="00777689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Sede principale</w:t>
      </w:r>
    </w:p>
    <w:p w14:paraId="4680C430" w14:textId="77777777" w:rsidR="00777689" w:rsidRPr="00777689" w:rsidRDefault="00777689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Istituto Tecnico Economico F.M. Genco</w:t>
      </w:r>
    </w:p>
    <w:p w14:paraId="7C7E97D3" w14:textId="49476484" w:rsidR="00852974" w:rsidRPr="00777689" w:rsidRDefault="00C51C65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</w:t>
      </w:r>
      <w:r w:rsidR="00777689" w:rsidRPr="00777689">
        <w:rPr>
          <w:rFonts w:eastAsia="Times New Roman" w:cstheme="minorHAnsi"/>
          <w:lang w:eastAsia="it-IT"/>
        </w:rPr>
        <w:t>orso serale</w:t>
      </w:r>
    </w:p>
    <w:p w14:paraId="2293BF96" w14:textId="479B21BA" w:rsidR="00777689" w:rsidRPr="00777689" w:rsidRDefault="00777689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Istituto Tecnico Tecnologico Nervi-Galilei</w:t>
      </w:r>
    </w:p>
    <w:p w14:paraId="2569A960" w14:textId="38A08A9F" w:rsidR="00777689" w:rsidRPr="00777689" w:rsidRDefault="002404DD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</w:t>
      </w:r>
      <w:r w:rsidR="00777689" w:rsidRPr="00777689">
        <w:rPr>
          <w:rFonts w:eastAsia="Times New Roman" w:cstheme="minorHAnsi"/>
          <w:lang w:eastAsia="it-IT"/>
        </w:rPr>
        <w:t>ed</w:t>
      </w:r>
      <w:r>
        <w:rPr>
          <w:rFonts w:eastAsia="Times New Roman" w:cstheme="minorHAnsi"/>
          <w:lang w:eastAsia="it-IT"/>
        </w:rPr>
        <w:t>e</w:t>
      </w:r>
      <w:r w:rsidR="00777689" w:rsidRPr="00777689">
        <w:rPr>
          <w:rFonts w:eastAsia="Times New Roman" w:cstheme="minorHAnsi"/>
          <w:lang w:eastAsia="it-IT"/>
        </w:rPr>
        <w:t xml:space="preserve"> principale</w:t>
      </w:r>
    </w:p>
    <w:p w14:paraId="52169691" w14:textId="5368F3B1" w:rsidR="00777689" w:rsidRPr="00777689" w:rsidRDefault="00777689" w:rsidP="002404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777689">
        <w:rPr>
          <w:rFonts w:eastAsia="Times New Roman" w:cstheme="minorHAnsi"/>
          <w:lang w:eastAsia="it-IT"/>
        </w:rPr>
        <w:t>Istituto Tecnico Tecnologico Nervi-Galilei</w:t>
      </w:r>
    </w:p>
    <w:p w14:paraId="7C59ADE1" w14:textId="26CD7791" w:rsidR="00777689" w:rsidRDefault="00C51C65" w:rsidP="002404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eastAsia="Times New Roman" w:cstheme="minorHAnsi"/>
          <w:lang w:eastAsia="it-IT"/>
        </w:rPr>
        <w:t>c</w:t>
      </w:r>
      <w:r w:rsidR="00777689" w:rsidRPr="00777689">
        <w:rPr>
          <w:rFonts w:eastAsia="Times New Roman" w:cstheme="minorHAnsi"/>
          <w:lang w:eastAsia="it-IT"/>
        </w:rPr>
        <w:t>orso serale</w:t>
      </w:r>
    </w:p>
    <w:p w14:paraId="16EE2D96" w14:textId="3370C075" w:rsidR="00777689" w:rsidRDefault="00777689" w:rsidP="00DD4E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14:paraId="1C61706D" w14:textId="142FBC12" w:rsidR="00C51C65" w:rsidRPr="00931109" w:rsidRDefault="00C51C65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 xml:space="preserve">Per comprendere </w:t>
      </w:r>
      <w:r w:rsidR="00DE17C1" w:rsidRPr="00931109">
        <w:rPr>
          <w:rFonts w:eastAsia="Times New Roman" w:cstheme="minorHAnsi"/>
          <w:lang w:eastAsia="it-IT"/>
        </w:rPr>
        <w:t>meglio il mondo della scuola e in generale il tema dell’istruzione e formazione è bene tener in debita considerazione alcuni</w:t>
      </w:r>
      <w:r w:rsidR="00927F77" w:rsidRPr="00931109">
        <w:rPr>
          <w:rFonts w:eastAsia="Times New Roman" w:cstheme="minorHAnsi"/>
          <w:lang w:eastAsia="it-IT"/>
        </w:rPr>
        <w:t xml:space="preserve"> dati:</w:t>
      </w:r>
    </w:p>
    <w:p w14:paraId="27C2BABE" w14:textId="77777777" w:rsidR="00DE17C1" w:rsidRPr="00931109" w:rsidRDefault="00DE17C1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0710C8D8" w14:textId="77777777" w:rsidR="006A18E3" w:rsidRPr="00931109" w:rsidRDefault="00927F77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>Nel censimento del 2011 risultavano ad Altamura 971 analfabeti</w:t>
      </w:r>
      <w:r w:rsidR="007066D1" w:rsidRPr="00931109">
        <w:rPr>
          <w:rFonts w:eastAsia="Times New Roman" w:cstheme="minorHAnsi"/>
          <w:lang w:eastAsia="it-IT"/>
        </w:rPr>
        <w:t>,</w:t>
      </w:r>
      <w:r w:rsidRPr="00931109">
        <w:rPr>
          <w:rFonts w:eastAsia="Times New Roman" w:cstheme="minorHAnsi"/>
          <w:lang w:eastAsia="it-IT"/>
        </w:rPr>
        <w:t xml:space="preserve"> l’1,5</w:t>
      </w:r>
      <w:r w:rsidR="007066D1" w:rsidRPr="00931109">
        <w:rPr>
          <w:rFonts w:eastAsia="Times New Roman" w:cstheme="minorHAnsi"/>
          <w:lang w:eastAsia="it-IT"/>
        </w:rPr>
        <w:t xml:space="preserve">/% </w:t>
      </w:r>
      <w:r w:rsidRPr="00931109">
        <w:rPr>
          <w:rFonts w:eastAsia="Times New Roman" w:cstheme="minorHAnsi"/>
          <w:lang w:eastAsia="it-IT"/>
        </w:rPr>
        <w:t>della popolazione di allora dai 6 anni in su</w:t>
      </w:r>
      <w:r w:rsidR="00E66409" w:rsidRPr="00931109">
        <w:rPr>
          <w:rFonts w:eastAsia="Times New Roman" w:cstheme="minorHAnsi"/>
          <w:lang w:eastAsia="it-IT"/>
        </w:rPr>
        <w:t>,</w:t>
      </w:r>
      <w:r w:rsidR="007066D1" w:rsidRPr="00931109">
        <w:rPr>
          <w:rFonts w:eastAsia="Times New Roman" w:cstheme="minorHAnsi"/>
          <w:lang w:eastAsia="it-IT"/>
        </w:rPr>
        <w:t xml:space="preserve"> pari a 64.631 abitanti ed </w:t>
      </w:r>
      <w:proofErr w:type="spellStart"/>
      <w:r w:rsidR="007066D1" w:rsidRPr="00931109">
        <w:rPr>
          <w:rFonts w:eastAsia="Times New Roman" w:cstheme="minorHAnsi"/>
          <w:lang w:eastAsia="it-IT"/>
        </w:rPr>
        <w:t>una</w:t>
      </w:r>
      <w:proofErr w:type="spellEnd"/>
      <w:r w:rsidR="007066D1" w:rsidRPr="00931109">
        <w:rPr>
          <w:rFonts w:eastAsia="Times New Roman" w:cstheme="minorHAnsi"/>
          <w:lang w:eastAsia="it-IT"/>
        </w:rPr>
        <w:t xml:space="preserve"> fascia consistente di alfabeti, 7434, pari al 11,5%, privi di alcun titolo di studio sempre sulla popolazione complessiva. </w:t>
      </w:r>
    </w:p>
    <w:p w14:paraId="6FDB1E32" w14:textId="77777777" w:rsidR="006A18E3" w:rsidRPr="00931109" w:rsidRDefault="007066D1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 xml:space="preserve">Passando a dati più recenti si possono rilevare da più indicatori importanti le seguenti </w:t>
      </w:r>
      <w:r w:rsidR="006A18E3" w:rsidRPr="00931109">
        <w:rPr>
          <w:rFonts w:eastAsia="Times New Roman" w:cstheme="minorHAnsi"/>
          <w:lang w:eastAsia="it-IT"/>
        </w:rPr>
        <w:t>indicazioni</w:t>
      </w:r>
      <w:r w:rsidRPr="00931109">
        <w:rPr>
          <w:rFonts w:eastAsia="Times New Roman" w:cstheme="minorHAnsi"/>
          <w:lang w:eastAsia="it-IT"/>
        </w:rPr>
        <w:t xml:space="preserve">: </w:t>
      </w:r>
      <w:r w:rsidR="00667998" w:rsidRPr="00931109">
        <w:rPr>
          <w:rFonts w:eastAsia="Times New Roman" w:cstheme="minorHAnsi"/>
          <w:lang w:eastAsia="it-IT"/>
        </w:rPr>
        <w:t xml:space="preserve">se </w:t>
      </w:r>
    </w:p>
    <w:p w14:paraId="723E2C43" w14:textId="77777777" w:rsidR="006A18E3" w:rsidRPr="00931109" w:rsidRDefault="007066D1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>si prende in considerazione il dato dei diplomati dai 25 ai 64 anni iscritti in anagrafe</w:t>
      </w:r>
      <w:r w:rsidR="00667998" w:rsidRPr="00931109">
        <w:rPr>
          <w:rFonts w:eastAsia="Times New Roman" w:cstheme="minorHAnsi"/>
          <w:lang w:eastAsia="it-IT"/>
        </w:rPr>
        <w:t xml:space="preserve"> (per cento residenti delle stesse classi di età) si scopre che nel 2015 erano il 47,54 con un leggero incremento rispetto nel 2014 il 46%. </w:t>
      </w:r>
    </w:p>
    <w:p w14:paraId="22235E4A" w14:textId="07A5296D" w:rsidR="00852974" w:rsidRPr="00931109" w:rsidRDefault="00667998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 xml:space="preserve">Rispetto ai laureati relativo alla fascia 30-34 anni iscritti in anagrafe (per 100 residenti) si </w:t>
      </w:r>
      <w:r w:rsidR="006A18E3" w:rsidRPr="00931109">
        <w:rPr>
          <w:rFonts w:eastAsia="Times New Roman" w:cstheme="minorHAnsi"/>
          <w:lang w:eastAsia="it-IT"/>
        </w:rPr>
        <w:t>può constatare che</w:t>
      </w:r>
      <w:r w:rsidRPr="00931109">
        <w:rPr>
          <w:rFonts w:eastAsia="Times New Roman" w:cstheme="minorHAnsi"/>
          <w:lang w:eastAsia="it-IT"/>
        </w:rPr>
        <w:t xml:space="preserve"> nel 2015</w:t>
      </w:r>
      <w:r w:rsidR="006A18E3" w:rsidRPr="00931109">
        <w:rPr>
          <w:rFonts w:eastAsia="Times New Roman" w:cstheme="minorHAnsi"/>
          <w:lang w:eastAsia="it-IT"/>
        </w:rPr>
        <w:t xml:space="preserve"> erano</w:t>
      </w:r>
      <w:r w:rsidRPr="00931109">
        <w:rPr>
          <w:rFonts w:eastAsia="Times New Roman" w:cstheme="minorHAnsi"/>
          <w:lang w:eastAsia="it-IT"/>
        </w:rPr>
        <w:t xml:space="preserve"> il 23,05</w:t>
      </w:r>
      <w:r w:rsidR="00E66409" w:rsidRPr="00931109">
        <w:rPr>
          <w:rFonts w:eastAsia="Times New Roman" w:cstheme="minorHAnsi"/>
          <w:lang w:eastAsia="it-IT"/>
        </w:rPr>
        <w:t>%</w:t>
      </w:r>
      <w:r w:rsidR="006A18E3" w:rsidRPr="00931109">
        <w:rPr>
          <w:rFonts w:eastAsia="Times New Roman" w:cstheme="minorHAnsi"/>
          <w:lang w:eastAsia="it-IT"/>
        </w:rPr>
        <w:t xml:space="preserve"> della fascia di popolazione considerata, </w:t>
      </w:r>
      <w:r w:rsidRPr="00931109">
        <w:rPr>
          <w:rFonts w:eastAsia="Times New Roman" w:cstheme="minorHAnsi"/>
          <w:lang w:eastAsia="it-IT"/>
        </w:rPr>
        <w:t xml:space="preserve">con un leggero miglioramento rispetto al </w:t>
      </w:r>
      <w:r w:rsidR="006A18E3" w:rsidRPr="00931109">
        <w:rPr>
          <w:rFonts w:eastAsia="Times New Roman" w:cstheme="minorHAnsi"/>
          <w:lang w:eastAsia="it-IT"/>
        </w:rPr>
        <w:t xml:space="preserve">dato del </w:t>
      </w:r>
      <w:r w:rsidRPr="00931109">
        <w:rPr>
          <w:rFonts w:eastAsia="Times New Roman" w:cstheme="minorHAnsi"/>
          <w:lang w:eastAsia="it-IT"/>
        </w:rPr>
        <w:t>2014</w:t>
      </w:r>
      <w:r w:rsidR="00E66409" w:rsidRPr="00931109">
        <w:rPr>
          <w:rFonts w:eastAsia="Times New Roman" w:cstheme="minorHAnsi"/>
          <w:lang w:eastAsia="it-IT"/>
        </w:rPr>
        <w:t xml:space="preserve"> </w:t>
      </w:r>
      <w:r w:rsidR="006A18E3" w:rsidRPr="00931109">
        <w:rPr>
          <w:rFonts w:eastAsia="Times New Roman" w:cstheme="minorHAnsi"/>
          <w:lang w:eastAsia="it-IT"/>
        </w:rPr>
        <w:t>che era i</w:t>
      </w:r>
      <w:r w:rsidR="00E66409" w:rsidRPr="00931109">
        <w:rPr>
          <w:rFonts w:eastAsia="Times New Roman" w:cstheme="minorHAnsi"/>
          <w:lang w:eastAsia="it-IT"/>
        </w:rPr>
        <w:t xml:space="preserve">l 21,85, inferiore </w:t>
      </w:r>
      <w:r w:rsidR="006A18E3" w:rsidRPr="00931109">
        <w:rPr>
          <w:rFonts w:eastAsia="Times New Roman" w:cstheme="minorHAnsi"/>
          <w:lang w:eastAsia="it-IT"/>
        </w:rPr>
        <w:t>a quello</w:t>
      </w:r>
      <w:r w:rsidR="00E66409" w:rsidRPr="00931109">
        <w:rPr>
          <w:rFonts w:eastAsia="Times New Roman" w:cstheme="minorHAnsi"/>
          <w:lang w:eastAsia="it-IT"/>
        </w:rPr>
        <w:t xml:space="preserve"> nazionale che era del 25/% e notevolmente al di sotto</w:t>
      </w:r>
      <w:r w:rsidR="006A18E3" w:rsidRPr="00931109">
        <w:rPr>
          <w:rFonts w:eastAsia="Times New Roman" w:cstheme="minorHAnsi"/>
          <w:lang w:eastAsia="it-IT"/>
        </w:rPr>
        <w:t xml:space="preserve"> del</w:t>
      </w:r>
      <w:r w:rsidR="00E66409" w:rsidRPr="00931109">
        <w:rPr>
          <w:rFonts w:eastAsia="Times New Roman" w:cstheme="minorHAnsi"/>
          <w:lang w:eastAsia="it-IT"/>
        </w:rPr>
        <w:t xml:space="preserve"> dato EU27 del 54%.</w:t>
      </w:r>
    </w:p>
    <w:p w14:paraId="4DA484CB" w14:textId="0DAFCB1B" w:rsidR="00E66409" w:rsidRPr="00931109" w:rsidRDefault="00E66409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lastRenderedPageBreak/>
        <w:t>Molto significativo è il dato dei giovani tra i 15 e i 29 anni iscritti in anagrafe che non hanno un’occupazione regolare e non seguono un percorso di studio (per 100 residenti): nel 2015</w:t>
      </w:r>
      <w:r w:rsidR="006A18E3" w:rsidRPr="00931109">
        <w:rPr>
          <w:rFonts w:eastAsia="Times New Roman" w:cstheme="minorHAnsi"/>
          <w:lang w:eastAsia="it-IT"/>
        </w:rPr>
        <w:t xml:space="preserve"> </w:t>
      </w:r>
      <w:proofErr w:type="gramStart"/>
      <w:r w:rsidR="006A18E3" w:rsidRPr="00931109">
        <w:rPr>
          <w:rFonts w:eastAsia="Times New Roman" w:cstheme="minorHAnsi"/>
          <w:lang w:eastAsia="it-IT"/>
        </w:rPr>
        <w:t xml:space="preserve">era </w:t>
      </w:r>
      <w:r w:rsidRPr="00931109">
        <w:rPr>
          <w:rFonts w:eastAsia="Times New Roman" w:cstheme="minorHAnsi"/>
          <w:lang w:eastAsia="it-IT"/>
        </w:rPr>
        <w:t xml:space="preserve"> il</w:t>
      </w:r>
      <w:proofErr w:type="gramEnd"/>
      <w:r w:rsidRPr="00931109">
        <w:rPr>
          <w:rFonts w:eastAsia="Times New Roman" w:cstheme="minorHAnsi"/>
          <w:lang w:eastAsia="it-IT"/>
        </w:rPr>
        <w:t xml:space="preserve"> </w:t>
      </w:r>
      <w:r w:rsidR="00BD4E25" w:rsidRPr="00931109">
        <w:rPr>
          <w:rFonts w:eastAsia="Times New Roman" w:cstheme="minorHAnsi"/>
          <w:lang w:eastAsia="it-IT"/>
        </w:rPr>
        <w:t xml:space="preserve">31,68% </w:t>
      </w:r>
      <w:r w:rsidRPr="00931109">
        <w:rPr>
          <w:rFonts w:eastAsia="Times New Roman" w:cstheme="minorHAnsi"/>
          <w:lang w:eastAsia="it-IT"/>
        </w:rPr>
        <w:t>sostanzialmente stabile</w:t>
      </w:r>
      <w:r w:rsidR="00BD4E25" w:rsidRPr="00931109">
        <w:rPr>
          <w:rFonts w:eastAsia="Times New Roman" w:cstheme="minorHAnsi"/>
          <w:lang w:eastAsia="it-IT"/>
        </w:rPr>
        <w:t xml:space="preserve"> rispetto</w:t>
      </w:r>
      <w:r w:rsidRPr="00931109">
        <w:rPr>
          <w:rFonts w:eastAsia="Times New Roman" w:cstheme="minorHAnsi"/>
          <w:lang w:eastAsia="it-IT"/>
        </w:rPr>
        <w:t xml:space="preserve"> a quello del 20</w:t>
      </w:r>
      <w:r w:rsidR="00BD4E25" w:rsidRPr="00931109">
        <w:rPr>
          <w:rFonts w:eastAsia="Times New Roman" w:cstheme="minorHAnsi"/>
          <w:lang w:eastAsia="it-IT"/>
        </w:rPr>
        <w:t>14 che era del 31,19%.</w:t>
      </w:r>
    </w:p>
    <w:p w14:paraId="0008510C" w14:textId="6F8C317D" w:rsidR="006A18E3" w:rsidRPr="00931109" w:rsidRDefault="00BD4E25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>Possono risultare utili alcuni spunti derivanti da dati relativi alla cultura, comunicazione e tempo libero rilevati</w:t>
      </w:r>
      <w:r w:rsidR="006A18E3" w:rsidRPr="00931109">
        <w:rPr>
          <w:rFonts w:eastAsia="Times New Roman" w:cstheme="minorHAnsi"/>
          <w:lang w:eastAsia="it-IT"/>
        </w:rPr>
        <w:t xml:space="preserve"> nel 2015,</w:t>
      </w:r>
      <w:r w:rsidR="00931109" w:rsidRPr="00931109">
        <w:rPr>
          <w:rFonts w:eastAsia="Times New Roman" w:cstheme="minorHAnsi"/>
          <w:lang w:eastAsia="it-IT"/>
        </w:rPr>
        <w:t xml:space="preserve"> </w:t>
      </w:r>
      <w:r w:rsidR="006A18E3" w:rsidRPr="00931109">
        <w:rPr>
          <w:rFonts w:eastAsia="Times New Roman" w:cstheme="minorHAnsi"/>
          <w:lang w:eastAsia="it-IT"/>
        </w:rPr>
        <w:t>2016</w:t>
      </w:r>
      <w:r w:rsidR="00931109" w:rsidRPr="00931109">
        <w:rPr>
          <w:rFonts w:eastAsia="Times New Roman" w:cstheme="minorHAnsi"/>
          <w:lang w:eastAsia="it-IT"/>
        </w:rPr>
        <w:t xml:space="preserve"> e nel 2017, 2018</w:t>
      </w:r>
      <w:r w:rsidRPr="00931109">
        <w:rPr>
          <w:rFonts w:eastAsia="Times New Roman" w:cstheme="minorHAnsi"/>
          <w:lang w:eastAsia="it-IT"/>
        </w:rPr>
        <w:t>:</w:t>
      </w:r>
    </w:p>
    <w:p w14:paraId="6F36040E" w14:textId="0646899F" w:rsidR="00931109" w:rsidRPr="00931109" w:rsidRDefault="00BD4E25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 xml:space="preserve">rispetto alla dotazione di risorse del patrimonio culturale </w:t>
      </w:r>
      <w:r w:rsidR="006A18E3" w:rsidRPr="00931109">
        <w:rPr>
          <w:rFonts w:eastAsia="Times New Roman" w:cstheme="minorHAnsi"/>
          <w:lang w:eastAsia="it-IT"/>
        </w:rPr>
        <w:t>(</w:t>
      </w:r>
      <w:r w:rsidRPr="00931109">
        <w:rPr>
          <w:rFonts w:eastAsia="Times New Roman" w:cstheme="minorHAnsi"/>
          <w:lang w:eastAsia="it-IT"/>
        </w:rPr>
        <w:t>il numero dei beni culturali accertati è pari a 147</w:t>
      </w:r>
      <w:r w:rsidR="00931109" w:rsidRPr="00931109">
        <w:rPr>
          <w:rFonts w:eastAsia="Times New Roman" w:cstheme="minorHAnsi"/>
          <w:lang w:eastAsia="it-IT"/>
        </w:rPr>
        <w:t xml:space="preserve"> nel </w:t>
      </w:r>
      <w:r w:rsidRPr="00931109">
        <w:rPr>
          <w:rFonts w:eastAsia="Times New Roman" w:cstheme="minorHAnsi"/>
          <w:lang w:eastAsia="it-IT"/>
        </w:rPr>
        <w:t>2017)</w:t>
      </w:r>
      <w:r w:rsidR="00931109" w:rsidRPr="00931109">
        <w:rPr>
          <w:rFonts w:eastAsia="Times New Roman" w:cstheme="minorHAnsi"/>
          <w:lang w:eastAsia="it-IT"/>
        </w:rPr>
        <w:t>;</w:t>
      </w:r>
      <w:r w:rsidRPr="00931109">
        <w:rPr>
          <w:rFonts w:eastAsia="Times New Roman" w:cstheme="minorHAnsi"/>
          <w:lang w:eastAsia="it-IT"/>
        </w:rPr>
        <w:t xml:space="preserve"> </w:t>
      </w:r>
    </w:p>
    <w:p w14:paraId="22D5D570" w14:textId="77777777" w:rsidR="00931109" w:rsidRPr="00931109" w:rsidRDefault="00BD4E25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>le biblioteche registrate nell’Anagrafe nazionale (</w:t>
      </w:r>
      <w:r w:rsidR="00F72071" w:rsidRPr="00931109">
        <w:rPr>
          <w:rFonts w:eastAsia="Times New Roman" w:cstheme="minorHAnsi"/>
          <w:lang w:eastAsia="it-IT"/>
        </w:rPr>
        <w:t>biblioteche per 100 mila abitanti) risulta</w:t>
      </w:r>
      <w:r w:rsidR="00931109" w:rsidRPr="00931109">
        <w:rPr>
          <w:rFonts w:eastAsia="Times New Roman" w:cstheme="minorHAnsi"/>
          <w:lang w:eastAsia="it-IT"/>
        </w:rPr>
        <w:t>no</w:t>
      </w:r>
      <w:r w:rsidR="00F72071" w:rsidRPr="00931109">
        <w:rPr>
          <w:rFonts w:eastAsia="Times New Roman" w:cstheme="minorHAnsi"/>
          <w:lang w:eastAsia="it-IT"/>
        </w:rPr>
        <w:t xml:space="preserve"> avere una percentuale del 7,1% (2016). </w:t>
      </w:r>
    </w:p>
    <w:p w14:paraId="2300FF4B" w14:textId="21163879" w:rsidR="00BD4E25" w:rsidRPr="00931109" w:rsidRDefault="00F72071" w:rsidP="00DD4E2C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31109">
        <w:rPr>
          <w:rFonts w:eastAsia="Times New Roman" w:cstheme="minorHAnsi"/>
          <w:lang w:eastAsia="it-IT"/>
        </w:rPr>
        <w:t xml:space="preserve">L’incidenza dei musei, gallerie, siti archeologici e monumenti (per 100mila abitanti) è pari al 5,68. I visitatori di musei, gallerie, siti archeologici e monumenti (per 100mila abitanti) </w:t>
      </w:r>
      <w:r w:rsidR="00931109" w:rsidRPr="00931109">
        <w:rPr>
          <w:rFonts w:eastAsia="Times New Roman" w:cstheme="minorHAnsi"/>
          <w:lang w:eastAsia="it-IT"/>
        </w:rPr>
        <w:t>hanno una percentuale del</w:t>
      </w:r>
      <w:r w:rsidRPr="00931109">
        <w:rPr>
          <w:rFonts w:eastAsia="Times New Roman" w:cstheme="minorHAnsi"/>
          <w:lang w:eastAsia="it-IT"/>
        </w:rPr>
        <w:t>21,28%</w:t>
      </w:r>
      <w:r w:rsidR="00481E5B" w:rsidRPr="00931109">
        <w:rPr>
          <w:rFonts w:eastAsia="Times New Roman" w:cstheme="minorHAnsi"/>
          <w:lang w:eastAsia="it-IT"/>
        </w:rPr>
        <w:t xml:space="preserve"> (2015).</w:t>
      </w:r>
    </w:p>
    <w:p w14:paraId="2CE2DD71" w14:textId="551A5AC1" w:rsidR="00447585" w:rsidRPr="00931109" w:rsidRDefault="00481E5B" w:rsidP="00DD4E2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it-IT"/>
        </w:rPr>
      </w:pPr>
      <w:r w:rsidRPr="00931109">
        <w:rPr>
          <w:rFonts w:eastAsia="Times New Roman" w:cstheme="minorHAnsi"/>
          <w:color w:val="333333"/>
          <w:lang w:eastAsia="it-IT"/>
        </w:rPr>
        <w:t xml:space="preserve">Nel 2018 su un numero di istituti museali </w:t>
      </w:r>
      <w:r w:rsidR="00931109" w:rsidRPr="00931109">
        <w:rPr>
          <w:rFonts w:eastAsia="Times New Roman" w:cstheme="minorHAnsi"/>
          <w:color w:val="333333"/>
          <w:lang w:eastAsia="it-IT"/>
        </w:rPr>
        <w:t>(</w:t>
      </w:r>
      <w:r w:rsidRPr="00931109">
        <w:rPr>
          <w:rFonts w:eastAsia="Times New Roman" w:cstheme="minorHAnsi"/>
          <w:color w:val="333333"/>
          <w:lang w:eastAsia="it-IT"/>
        </w:rPr>
        <w:t>5</w:t>
      </w:r>
      <w:r w:rsidR="00931109" w:rsidRPr="00931109">
        <w:rPr>
          <w:rFonts w:eastAsia="Times New Roman" w:cstheme="minorHAnsi"/>
          <w:color w:val="333333"/>
          <w:lang w:eastAsia="it-IT"/>
        </w:rPr>
        <w:t>)</w:t>
      </w:r>
      <w:r w:rsidRPr="00931109">
        <w:rPr>
          <w:rFonts w:eastAsia="Times New Roman" w:cstheme="minorHAnsi"/>
          <w:color w:val="333333"/>
          <w:lang w:eastAsia="it-IT"/>
        </w:rPr>
        <w:t xml:space="preserve"> si sono avuti un numero di visitatori pari a 39.568 molto inferiore del dato 2017 che è stato di 55</w:t>
      </w:r>
      <w:r w:rsidR="00D1094A" w:rsidRPr="00931109">
        <w:rPr>
          <w:rFonts w:eastAsia="Times New Roman" w:cstheme="minorHAnsi"/>
          <w:color w:val="333333"/>
          <w:lang w:eastAsia="it-IT"/>
        </w:rPr>
        <w:t>.</w:t>
      </w:r>
      <w:r w:rsidRPr="00931109">
        <w:rPr>
          <w:rFonts w:eastAsia="Times New Roman" w:cstheme="minorHAnsi"/>
          <w:color w:val="333333"/>
          <w:lang w:eastAsia="it-IT"/>
        </w:rPr>
        <w:t>888</w:t>
      </w:r>
      <w:r w:rsidR="00931109" w:rsidRPr="00931109">
        <w:rPr>
          <w:rFonts w:eastAsia="Times New Roman" w:cstheme="minorHAnsi"/>
          <w:color w:val="333333"/>
          <w:lang w:eastAsia="it-IT"/>
        </w:rPr>
        <w:t xml:space="preserve"> visitatori</w:t>
      </w:r>
      <w:r w:rsidR="00D1094A" w:rsidRPr="00931109">
        <w:rPr>
          <w:rFonts w:eastAsia="Times New Roman" w:cstheme="minorHAnsi"/>
          <w:color w:val="333333"/>
          <w:lang w:eastAsia="it-IT"/>
        </w:rPr>
        <w:t>.</w:t>
      </w:r>
    </w:p>
    <w:p w14:paraId="7DDC964D" w14:textId="48F0D1E7" w:rsidR="00447585" w:rsidRDefault="00447585" w:rsidP="00DD4E2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eastAsia="it-IT"/>
        </w:rPr>
      </w:pPr>
    </w:p>
    <w:p w14:paraId="59B174F1" w14:textId="07E01C38" w:rsidR="00931109" w:rsidRDefault="00931109" w:rsidP="00DD4E2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eastAsia="it-IT"/>
        </w:rPr>
      </w:pPr>
    </w:p>
    <w:p w14:paraId="29C27ACD" w14:textId="24EDE6A3" w:rsidR="00F14A8B" w:rsidRPr="00931109" w:rsidRDefault="00F14A8B" w:rsidP="00DD4E2C">
      <w:pPr>
        <w:spacing w:after="0"/>
        <w:rPr>
          <w:rFonts w:cstheme="minorHAnsi"/>
        </w:rPr>
      </w:pPr>
    </w:p>
    <w:p w14:paraId="55B5BEB9" w14:textId="3862B24C" w:rsidR="00F14A8B" w:rsidRPr="00931109" w:rsidRDefault="00F14A8B" w:rsidP="00DD4E2C">
      <w:pPr>
        <w:spacing w:after="0"/>
        <w:rPr>
          <w:rFonts w:cstheme="minorHAnsi"/>
        </w:rPr>
      </w:pPr>
    </w:p>
    <w:p w14:paraId="3D5EE773" w14:textId="7CE1F872" w:rsidR="00F14A8B" w:rsidRPr="00931109" w:rsidRDefault="00F14A8B" w:rsidP="00DD4E2C">
      <w:pPr>
        <w:spacing w:after="0"/>
        <w:rPr>
          <w:rFonts w:cstheme="minorHAnsi"/>
        </w:rPr>
      </w:pPr>
    </w:p>
    <w:p w14:paraId="04052D2C" w14:textId="55A298EC" w:rsidR="00F14A8B" w:rsidRDefault="00F14A8B" w:rsidP="00DD4E2C">
      <w:pPr>
        <w:spacing w:after="0"/>
      </w:pPr>
    </w:p>
    <w:p w14:paraId="59D16874" w14:textId="51A1185C" w:rsidR="00F14A8B" w:rsidRDefault="00F14A8B" w:rsidP="00DD4E2C">
      <w:pPr>
        <w:spacing w:after="0"/>
      </w:pPr>
    </w:p>
    <w:p w14:paraId="2C3062AE" w14:textId="57467E35" w:rsidR="00F14A8B" w:rsidRDefault="00F14A8B"/>
    <w:p w14:paraId="46649EA8" w14:textId="1D275FFC" w:rsidR="00F14A8B" w:rsidRDefault="00F14A8B"/>
    <w:p w14:paraId="0A9A0EEE" w14:textId="533B85C5" w:rsidR="00F14A8B" w:rsidRDefault="00F14A8B"/>
    <w:p w14:paraId="2D87B115" w14:textId="49A1364A" w:rsidR="00F14A8B" w:rsidRDefault="00F14A8B"/>
    <w:p w14:paraId="48AC8F8C" w14:textId="1F0BBF75" w:rsidR="00F14A8B" w:rsidRDefault="00F14A8B"/>
    <w:p w14:paraId="20BCBDED" w14:textId="03CEFF73" w:rsidR="00F14A8B" w:rsidRDefault="00F14A8B"/>
    <w:p w14:paraId="372A83CB" w14:textId="750ED23E" w:rsidR="00F14A8B" w:rsidRDefault="00F14A8B"/>
    <w:p w14:paraId="54A48A03" w14:textId="474F67BC" w:rsidR="00F14A8B" w:rsidRDefault="00F14A8B"/>
    <w:p w14:paraId="4C4B7E8C" w14:textId="0742A63E" w:rsidR="00F14A8B" w:rsidRDefault="00F14A8B"/>
    <w:p w14:paraId="22F042C9" w14:textId="763EDD93" w:rsidR="00F14A8B" w:rsidRDefault="00F14A8B"/>
    <w:p w14:paraId="64C75852" w14:textId="4E942ECF" w:rsidR="00F14A8B" w:rsidRDefault="00F14A8B"/>
    <w:p w14:paraId="25D4A00E" w14:textId="690CFF4B" w:rsidR="00F14A8B" w:rsidRDefault="00F14A8B"/>
    <w:p w14:paraId="32AAC1A7" w14:textId="5BD4029A" w:rsidR="00F14A8B" w:rsidRDefault="00F14A8B"/>
    <w:p w14:paraId="6F74AD1A" w14:textId="6A21B282" w:rsidR="00F14A8B" w:rsidRDefault="00F14A8B"/>
    <w:p w14:paraId="29CA0D01" w14:textId="4761A8CB" w:rsidR="00F14A8B" w:rsidRDefault="00F14A8B"/>
    <w:p w14:paraId="08954DE3" w14:textId="62D9C4A5" w:rsidR="00F14A8B" w:rsidRDefault="00F14A8B"/>
    <w:p w14:paraId="5759DD35" w14:textId="2D883058" w:rsidR="00F14A8B" w:rsidRDefault="00F14A8B"/>
    <w:p w14:paraId="5CB35DA2" w14:textId="681BFC7F" w:rsidR="00F14A8B" w:rsidRDefault="00F14A8B"/>
    <w:p w14:paraId="14B27C84" w14:textId="1E5F8868" w:rsidR="00F14A8B" w:rsidRDefault="00F14A8B"/>
    <w:p w14:paraId="5200B6F3" w14:textId="007778D3" w:rsidR="00F14A8B" w:rsidRDefault="00F14A8B"/>
    <w:p w14:paraId="0262E363" w14:textId="26BA114D" w:rsidR="00F14A8B" w:rsidRDefault="00F14A8B"/>
    <w:p w14:paraId="4B368F20" w14:textId="071D8925" w:rsidR="00F14A8B" w:rsidRDefault="00F14A8B"/>
    <w:p w14:paraId="13230964" w14:textId="422BF69A" w:rsidR="00F14A8B" w:rsidRDefault="00F14A8B"/>
    <w:p w14:paraId="2BA05168" w14:textId="405FC5FE" w:rsidR="00F14A8B" w:rsidRDefault="00F14A8B"/>
    <w:p w14:paraId="353B787E" w14:textId="458A3DBC" w:rsidR="00F14A8B" w:rsidRDefault="00F14A8B"/>
    <w:p w14:paraId="636F2578" w14:textId="39FD5412" w:rsidR="00F14A8B" w:rsidRDefault="00F14A8B"/>
    <w:p w14:paraId="468F0A75" w14:textId="78911520" w:rsidR="00F14A8B" w:rsidRDefault="00F14A8B"/>
    <w:p w14:paraId="70E458AB" w14:textId="032A95A1" w:rsidR="00F14A8B" w:rsidRDefault="00F14A8B"/>
    <w:p w14:paraId="13BAFE8F" w14:textId="07C468DB" w:rsidR="00F14A8B" w:rsidRDefault="00F14A8B"/>
    <w:p w14:paraId="14F746D1" w14:textId="6D648EAC" w:rsidR="00F14A8B" w:rsidRDefault="00F14A8B"/>
    <w:p w14:paraId="45C25904" w14:textId="4BDDC419" w:rsidR="00F14A8B" w:rsidRDefault="00F14A8B"/>
    <w:p w14:paraId="15B8BE2A" w14:textId="6B6404E2" w:rsidR="00F14A8B" w:rsidRDefault="00F14A8B"/>
    <w:p w14:paraId="771C31B5" w14:textId="0FABE445" w:rsidR="00F14A8B" w:rsidRDefault="00F14A8B"/>
    <w:p w14:paraId="5060D3C0" w14:textId="2DA85ECB" w:rsidR="00F14A8B" w:rsidRDefault="00F14A8B"/>
    <w:p w14:paraId="2F4956C2" w14:textId="2B920F1E" w:rsidR="00F14A8B" w:rsidRDefault="00F14A8B"/>
    <w:p w14:paraId="1D5AC60C" w14:textId="3E6C6D29" w:rsidR="00F14A8B" w:rsidRDefault="00F14A8B"/>
    <w:p w14:paraId="60A49D94" w14:textId="263E0EE2" w:rsidR="00F14A8B" w:rsidRDefault="00F14A8B"/>
    <w:p w14:paraId="35CDBEF5" w14:textId="31238217" w:rsidR="00F14A8B" w:rsidRDefault="00F14A8B"/>
    <w:p w14:paraId="3A4271F7" w14:textId="221AE0C2" w:rsidR="00F14A8B" w:rsidRDefault="00F14A8B"/>
    <w:p w14:paraId="7C2D25A6" w14:textId="6B0A53D4" w:rsidR="00F14A8B" w:rsidRDefault="00F14A8B"/>
    <w:p w14:paraId="063ED60B" w14:textId="33A6185F" w:rsidR="00F14A8B" w:rsidRDefault="00F14A8B"/>
    <w:p w14:paraId="0601CD15" w14:textId="0E254692" w:rsidR="00F14A8B" w:rsidRDefault="00F14A8B"/>
    <w:p w14:paraId="4710FB66" w14:textId="71893FE9" w:rsidR="00F14A8B" w:rsidRDefault="00F14A8B"/>
    <w:p w14:paraId="3965AEE7" w14:textId="0CF3A512" w:rsidR="00F14A8B" w:rsidRDefault="00F14A8B"/>
    <w:p w14:paraId="7A104C26" w14:textId="5E4638E0" w:rsidR="00F14A8B" w:rsidRDefault="00F14A8B"/>
    <w:p w14:paraId="4700D8F1" w14:textId="068F8127" w:rsidR="00F14A8B" w:rsidRDefault="00F14A8B"/>
    <w:p w14:paraId="4A5A6259" w14:textId="087BDE7B" w:rsidR="00F14A8B" w:rsidRDefault="00F14A8B"/>
    <w:p w14:paraId="1312C89D" w14:textId="52A6DDCA" w:rsidR="00F14A8B" w:rsidRDefault="00F14A8B"/>
    <w:p w14:paraId="66977568" w14:textId="5B800D9E" w:rsidR="00F14A8B" w:rsidRDefault="00F14A8B"/>
    <w:p w14:paraId="5A974362" w14:textId="7800F066" w:rsidR="00F14A8B" w:rsidRDefault="00F14A8B"/>
    <w:p w14:paraId="5713652D" w14:textId="1E1D4D63" w:rsidR="00F14A8B" w:rsidRDefault="00F14A8B"/>
    <w:p w14:paraId="652E80DD" w14:textId="44129D70" w:rsidR="00F14A8B" w:rsidRDefault="00F14A8B"/>
    <w:p w14:paraId="192EB4E5" w14:textId="2FDE7B8D" w:rsidR="00F14A8B" w:rsidRDefault="00F14A8B"/>
    <w:p w14:paraId="05369935" w14:textId="1AA03696" w:rsidR="00F14A8B" w:rsidRDefault="00F14A8B"/>
    <w:p w14:paraId="0F5AD20A" w14:textId="2A38904B" w:rsidR="00F14A8B" w:rsidRDefault="00F14A8B"/>
    <w:p w14:paraId="57044BBC" w14:textId="5ADA57DE" w:rsidR="00F14A8B" w:rsidRDefault="00F14A8B"/>
    <w:p w14:paraId="0569C10F" w14:textId="45201505" w:rsidR="00F14A8B" w:rsidRDefault="00F14A8B"/>
    <w:p w14:paraId="7AD33FF9" w14:textId="154A2786" w:rsidR="00F14A8B" w:rsidRDefault="00F14A8B"/>
    <w:p w14:paraId="58DB0117" w14:textId="64C5BF26" w:rsidR="00F14A8B" w:rsidRDefault="00F14A8B"/>
    <w:p w14:paraId="1142EEF2" w14:textId="4FD58118" w:rsidR="00F14A8B" w:rsidRDefault="00F14A8B"/>
    <w:p w14:paraId="4CC664FD" w14:textId="721D0DA2" w:rsidR="00F14A8B" w:rsidRDefault="00F14A8B"/>
    <w:p w14:paraId="5FA0E3E1" w14:textId="3A531B76" w:rsidR="00F14A8B" w:rsidRDefault="00F14A8B"/>
    <w:p w14:paraId="215146D9" w14:textId="4617C986" w:rsidR="00F14A8B" w:rsidRDefault="00F14A8B"/>
    <w:p w14:paraId="199AF997" w14:textId="6965DC83" w:rsidR="00F14A8B" w:rsidRDefault="00F14A8B"/>
    <w:p w14:paraId="03C97273" w14:textId="6238459F" w:rsidR="00F14A8B" w:rsidRDefault="00F14A8B"/>
    <w:p w14:paraId="23D3C62C" w14:textId="0E663E8F" w:rsidR="00F14A8B" w:rsidRDefault="00F14A8B"/>
    <w:p w14:paraId="037AACC0" w14:textId="1441E917" w:rsidR="00F14A8B" w:rsidRDefault="00F14A8B"/>
    <w:p w14:paraId="3F97D8B1" w14:textId="3F60E720" w:rsidR="00F14A8B" w:rsidRDefault="00F14A8B"/>
    <w:p w14:paraId="038F94E4" w14:textId="364F8F46" w:rsidR="00F14A8B" w:rsidRDefault="00F14A8B"/>
    <w:p w14:paraId="25383CDC" w14:textId="798381E2" w:rsidR="00F14A8B" w:rsidRDefault="00F14A8B"/>
    <w:p w14:paraId="451AC39F" w14:textId="2ECF82CE" w:rsidR="00F14A8B" w:rsidRDefault="00F14A8B"/>
    <w:p w14:paraId="69D9DCB8" w14:textId="65F56E69" w:rsidR="00F14A8B" w:rsidRDefault="00F14A8B"/>
    <w:p w14:paraId="13999DBF" w14:textId="07455593" w:rsidR="00F14A8B" w:rsidRDefault="00F14A8B"/>
    <w:p w14:paraId="09F089D3" w14:textId="6BE41793" w:rsidR="00F14A8B" w:rsidRDefault="00F14A8B"/>
    <w:p w14:paraId="28695DE3" w14:textId="6D438E20" w:rsidR="00F14A8B" w:rsidRDefault="00F14A8B"/>
    <w:p w14:paraId="53B05876" w14:textId="2F3E8401" w:rsidR="00F14A8B" w:rsidRDefault="00F14A8B"/>
    <w:p w14:paraId="0C5AEBBD" w14:textId="17126F2E" w:rsidR="00F14A8B" w:rsidRDefault="00F14A8B"/>
    <w:p w14:paraId="393FF00F" w14:textId="64E939B4" w:rsidR="00F14A8B" w:rsidRDefault="00F14A8B"/>
    <w:p w14:paraId="14D5F1D0" w14:textId="77777777" w:rsidR="00F14A8B" w:rsidRDefault="00F14A8B"/>
    <w:p w14:paraId="1E2DB6F4" w14:textId="77777777" w:rsidR="00F16BC6" w:rsidRPr="00F16BC6" w:rsidRDefault="00F16BC6" w:rsidP="00F16BC6">
      <w:pPr>
        <w:spacing w:after="0" w:line="240" w:lineRule="auto"/>
        <w:outlineLvl w:val="0"/>
        <w:rPr>
          <w:rFonts w:ascii="Raleway" w:eastAsia="Times New Roman" w:hAnsi="Raleway" w:cs="Times New Roman"/>
          <w:b/>
          <w:bCs/>
          <w:color w:val="443F3F"/>
          <w:kern w:val="36"/>
          <w:sz w:val="54"/>
          <w:szCs w:val="5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43F3F"/>
          <w:kern w:val="36"/>
          <w:sz w:val="54"/>
          <w:szCs w:val="54"/>
          <w:lang w:eastAsia="it-IT"/>
        </w:rPr>
        <w:t>MIUR: pubblicati i dati sulla dispersione scolastica</w:t>
      </w:r>
    </w:p>
    <w:p w14:paraId="5AD0809C" w14:textId="77777777" w:rsidR="00F16BC6" w:rsidRPr="00F16BC6" w:rsidRDefault="00F16BC6" w:rsidP="00F16BC6">
      <w:pPr>
        <w:spacing w:after="0" w:line="240" w:lineRule="auto"/>
        <w:rPr>
          <w:rFonts w:ascii="Times New Roman" w:eastAsia="Times New Roman" w:hAnsi="Times New Roman" w:cs="Times New Roman"/>
          <w:caps/>
          <w:color w:val="68647A"/>
          <w:sz w:val="20"/>
          <w:szCs w:val="20"/>
          <w:lang w:eastAsia="it-IT"/>
        </w:rPr>
      </w:pPr>
      <w:r w:rsidRPr="00F16BC6">
        <w:rPr>
          <w:rFonts w:ascii="Times New Roman" w:eastAsia="Times New Roman" w:hAnsi="Times New Roman" w:cs="Times New Roman"/>
          <w:caps/>
          <w:color w:val="68647A"/>
          <w:sz w:val="20"/>
          <w:szCs w:val="20"/>
          <w:lang w:eastAsia="it-IT"/>
        </w:rPr>
        <w:t>PUBBLICATO IL </w:t>
      </w:r>
      <w:hyperlink r:id="rId14" w:history="1">
        <w:r w:rsidRPr="00F16BC6">
          <w:rPr>
            <w:rFonts w:ascii="Times New Roman" w:eastAsia="Times New Roman" w:hAnsi="Times New Roman" w:cs="Times New Roman"/>
            <w:caps/>
            <w:color w:val="68647A"/>
            <w:sz w:val="20"/>
            <w:szCs w:val="20"/>
            <w:lang w:eastAsia="it-IT"/>
          </w:rPr>
          <w:t>18 LUGLIO 2019</w:t>
        </w:r>
      </w:hyperlink>
      <w:r w:rsidRPr="00F16BC6">
        <w:rPr>
          <w:rFonts w:ascii="Times New Roman" w:eastAsia="Times New Roman" w:hAnsi="Times New Roman" w:cs="Times New Roman"/>
          <w:caps/>
          <w:color w:val="68647A"/>
          <w:sz w:val="20"/>
          <w:szCs w:val="20"/>
          <w:lang w:eastAsia="it-IT"/>
        </w:rPr>
        <w:t> </w:t>
      </w:r>
      <w:hyperlink r:id="rId15" w:history="1">
        <w:r w:rsidRPr="00F16BC6">
          <w:rPr>
            <w:rFonts w:ascii="Times New Roman" w:eastAsia="Times New Roman" w:hAnsi="Times New Roman" w:cs="Times New Roman"/>
            <w:caps/>
            <w:color w:val="68647A"/>
            <w:sz w:val="20"/>
            <w:szCs w:val="20"/>
            <w:lang w:eastAsia="it-IT"/>
          </w:rPr>
          <w:t>ADMIN2</w:t>
        </w:r>
      </w:hyperlink>
    </w:p>
    <w:p w14:paraId="0BE2D5F0" w14:textId="77777777" w:rsidR="00F16BC6" w:rsidRPr="00F16BC6" w:rsidRDefault="00F16BC6" w:rsidP="00F16BC6">
      <w:pPr>
        <w:shd w:val="clear" w:color="auto" w:fill="FFFFFF"/>
        <w:spacing w:line="240" w:lineRule="auto"/>
        <w:jc w:val="center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noProof/>
          <w:color w:val="47425D"/>
          <w:sz w:val="24"/>
          <w:szCs w:val="24"/>
          <w:lang w:eastAsia="it-IT"/>
        </w:rPr>
        <w:lastRenderedPageBreak/>
        <w:drawing>
          <wp:inline distT="0" distB="0" distL="0" distR="0" wp14:anchorId="0DB9CB26" wp14:editId="2BB327BB">
            <wp:extent cx="3048000" cy="2028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15EE" w14:textId="77777777" w:rsidR="00F16BC6" w:rsidRPr="00F16BC6" w:rsidRDefault="00F16BC6" w:rsidP="00F16BC6">
      <w:pPr>
        <w:shd w:val="clear" w:color="auto" w:fill="FFFFFF"/>
        <w:spacing w:before="150" w:after="360" w:line="240" w:lineRule="auto"/>
        <w:outlineLvl w:val="3"/>
        <w:rPr>
          <w:rFonts w:ascii="Raleway" w:eastAsia="Times New Roman" w:hAnsi="Raleway" w:cs="Times New Roman"/>
          <w:b/>
          <w:bCs/>
          <w:color w:val="443F3F"/>
          <w:sz w:val="38"/>
          <w:szCs w:val="38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i/>
          <w:iCs/>
          <w:color w:val="443F3F"/>
          <w:sz w:val="38"/>
          <w:szCs w:val="38"/>
          <w:lang w:eastAsia="it-IT"/>
        </w:rPr>
        <w:t>Nell’anno scolastico 2016/17 e nel passaggio all’anno successivo, ben 131.062 studenti hanno abbandonato la scuola, non assolvendo all’obbligo. Il dato è in calo, ma sempre elevato. Più a rischio gli alunni con cittadinanza straniera. E il report del MIUR correla per la prima volta i dati degli abbandoni con alcune variabili socio-economiche</w:t>
      </w:r>
    </w:p>
    <w:p w14:paraId="6DF418B6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Con L’Anagrafe degli Studenti, la misura della dispersione scolastica diventa sempre più precisa. Nel nuovo report del MIUR, pubblicato ieri,</w:t>
      </w: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 la dispersione scolastica è rappresentata – come un puzzle – dall’insieme di cinque “tasselli”: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 gli abbandono in corso d’anno alla scuola secondaria di primo grado, gli abbandoni tra un anno e il successivo sempre alla secondaria di primo grado, quelli che scompaiono dopo la terza media (non si iscrivono a una scuola superiore, né a un percorso </w:t>
      </w:r>
      <w:proofErr w:type="spellStart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IeFP</w:t>
      </w:r>
      <w:proofErr w:type="spellEnd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, né ripetono l’anno), e infine gli abbandoni in corso d’anno e fra un anno e l’altro per la scuola secondaria di secondo grado.</w:t>
      </w:r>
    </w:p>
    <w:p w14:paraId="4864E25F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Nell’anno scolastico 2016/2017, nella scuola secondaria di primo grado, 6.244 alunni hanno abbandonato la scuola. Altri 5.586 l’hanno fatto a settembre 2017, all’inizio dell’anno scolastico successivo. In totale 11.830 abbandoni, pari a 0,69 studenti su 100. 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La dispersione scolastica sembra incidere in modo differente sulla popolazione studentesca maschile rispetto a quella femminile: l’abbandono complessivo per i soli alunni maschi è stato, nel periodo considerato, pari allo 0,77% mentre per le femmine allo 0,59%.</w:t>
      </w:r>
    </w:p>
    <w:p w14:paraId="614D31D9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La maggiore propensione all’abbandono scolastico è riscontrata nelle aree più disagiate del paese: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 per la scuola secondaria di I grado, mediamente il Mezzogiorno ha riportato una percentuale di abbandono complessivo dello 0,84% (con l’1,12% nelle Isole e lo 0,70% al Sud); le regioni centrali riportano una percentuale di abbandono complessivo pari allo 0,69%, il Nord Ovest in media dello 0,64% e il Nord Est una percentuale decisamente più contenuta, pari allo 0,47%. Tra le singole regioni spiccano la Sicilia con l’1,2%, Calabria, Campania e Lazio con lo 0,8%; </w:t>
      </w:r>
      <w:proofErr w:type="gramStart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le percentuale</w:t>
      </w:r>
      <w:proofErr w:type="gramEnd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 più basse si evidenziano in Emilia Romagna con lo 0,4%, e in Veneto e in Basilicata entrambe con lo 0,5%.</w:t>
      </w:r>
    </w:p>
    <w:p w14:paraId="697E3BC7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lastRenderedPageBreak/>
        <w:t>Per cittadinanza degli alunni, </w:t>
      </w: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è evidente come il fenomeno della dispersione scolastica colpisca maggiormente i cittadini stranieri rispetto a quelli italiani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; nella scuola secondaria di I grado la percentuale di alunni stranieri che abbandona la scuola si è attestato, nel periodo considerato, al 2,92%, contro lo 0,45% relativo agli alunni con cittadinanza italiana. Gli stranieri nati all’estero, con una percentuale di abbandono del 4,11%, sono in situazione di maggiore difficoltà rispetto agli stranieri di 2° generazione, ossia quelli nati in Italia che, indubbiamente più integrati, hanno riportato una percentuale di abbandono complessivo dell’1,84%. Il tasso di abbandono risulta più elevato della media per gli alunni con cittadinanza della Costa d’Avorio (8,9%), Bosnia-Erzegovina (7,2%), Egitto (7,1%) e Bulgaria (5,9%).</w:t>
      </w:r>
    </w:p>
    <w:p w14:paraId="2AC83B5A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Gli alunni che hanno abbandonato il sistema nazionale di istruzione e formazione, </w:t>
      </w: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nel passaggio tra il I e il II ciclo – per intenderci dopo la terza media – sono complessivamente pari a 8.130, pari allo 0,48%. 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Anche nel passaggio tra cicli scolastici, il fenomeno della dispersione interessa maggiormente la popolazione studentesca maschile rispetto a quella femminile: l’abbandono complessivo per gli alunni maschi è stato dell’1,61% e quello delle femmine dell’1,27%. In questo caso quantificare la dispersione territorio per territorio è più complesso perché alcune regioni hanno aderito al sistema di iscrizioni on-line ai corsi </w:t>
      </w:r>
      <w:proofErr w:type="spellStart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IeFP</w:t>
      </w:r>
      <w:proofErr w:type="spellEnd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 per l’anno scolastico 2017/2018 (Piemonte, Lombardia, Veneto, Toscana, Lazio, Molise, Sicilia e Liguria) e quindi l’Anagrafe tracci anche questi studenti, mentre per le regioni che non hanno aderito non è possibile sapere se i ragazzi mancanti all’appello sono veramente in dispersione scolastica o sono iscritti a corsi regionali di Formazione Professionale: è il caso ad esempio del Friuli Venezia Giulia, che ha un tasso di abbandono del 3,6%, dato che però non può essere considerato reale abbandono dal sistema scolastico e formativo.</w:t>
      </w:r>
    </w:p>
    <w:p w14:paraId="5E99C169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Complessivamente, con i primi tre tasselli del puzzle, arriviamo a 19.960 abbandoni complessivi, pari al 1,17%.</w:t>
      </w:r>
    </w:p>
    <w:p w14:paraId="4B9DD18E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 xml:space="preserve">Veniamo ora alla scuola secondaria di II grado. Il dato complessivo qui è di 99.272 abbandoni complessivi (3,81%), composto da 35.491 abbandoni nel corso </w:t>
      </w:r>
      <w:proofErr w:type="spellStart"/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dell’a.s.</w:t>
      </w:r>
      <w:proofErr w:type="spellEnd"/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 xml:space="preserve"> 2016/2017 e 63.781 fra quell’anno e l’inizio dell’anno scolastico successivo.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 La differenziazione per genere sul fenomeno della dispersione scolastica è, per gli alunni della scuola secondaria di II grado, piuttosto marcato: per la popolazione studentesca maschile l’abbandono complessivo è stato del 4,6% e per la popolazione femminile del 3%. Il primo anno di corso è quello su cui si salta più facilmente: l’abbandono è stato pari al 6,2% (1,8% nel corso </w:t>
      </w:r>
      <w:proofErr w:type="spellStart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dell’a.s.</w:t>
      </w:r>
      <w:proofErr w:type="spellEnd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 2016/2017 e 4,4% nel passaggio </w:t>
      </w:r>
      <w:proofErr w:type="spellStart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all’a.s.</w:t>
      </w:r>
      <w:proofErr w:type="spellEnd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 2017/2018); per gli anni di corso successivi è stato più contenuto, attestandosi per il II anno al 3,9%, per il III al 3,7% e per il IV anno di corso al 3,6%.</w:t>
      </w:r>
    </w:p>
    <w:p w14:paraId="007D0A75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Anche per la scuola secondaria di II grado le regioni del meridione hanno riportato mediamente la percentuale di abbandono complessivo più elevata, pari al 4,7% per le regioni insulari e al 3,9% per quelle del Sud.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 Il Nord Ovest presenta una percentuale di abbandono del 3,8%, le regioni dell’Italia centrale in media del 3,5% e quelle del Nord Est del 3,3%. Per la scuola secondaria di II grado, il tasso di abbandono complessivo è stato più elevato nelle scuole paritarie, con una percentuale del 7%, rispetto a quello registrato nelle scuole statali, pari al 3,7%.</w:t>
      </w:r>
    </w:p>
    <w:p w14:paraId="5806E41F" w14:textId="3D1530CD" w:rsid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Ancora una volta, impatta cittadinanza: </w:t>
      </w: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 xml:space="preserve">la percentuale di alunni stranieri che hanno abbandonato la scuola è del 10,5% contro il 3,3% riportato dagli alunni con </w:t>
      </w: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lastRenderedPageBreak/>
        <w:t>cittadinanza italiana</w:t>
      </w: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. In particolare, gli alunni con cittadinanza non italiana nati all’estero, hanno un tasso di abbandono complessivo pari all’11,8%, più elevato quindi di quelli nati in Italia. I licei hanno presentato mediamente una percentuale di abbandono complessivo dell’1,8%, per gli istituti tecnici la percentuale è stata del 4,3% e per gli istituti professionali del 7,7%. La percentuale di abbandono più elevata è relativa a percorsi </w:t>
      </w:r>
      <w:proofErr w:type="spellStart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IeFP</w:t>
      </w:r>
      <w:proofErr w:type="spellEnd"/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 xml:space="preserve"> (realizzati in regime di sussidiarietà presso le scuole), con un abbandono complessivo del 9,9%.</w:t>
      </w:r>
    </w:p>
    <w:p w14:paraId="70FE09BA" w14:textId="5CC81BEE" w:rsid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</w:p>
    <w:p w14:paraId="03E460F1" w14:textId="6B67AB1B" w:rsid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</w:p>
    <w:p w14:paraId="031C1570" w14:textId="140EC432" w:rsidR="00F16BC6" w:rsidRDefault="00040445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hyperlink r:id="rId17" w:history="1">
        <w:r w:rsidR="00F16BC6" w:rsidRPr="00D44E9E">
          <w:rPr>
            <w:rStyle w:val="Collegamentoipertestuale"/>
            <w:rFonts w:ascii="Raleway" w:eastAsia="Times New Roman" w:hAnsi="Raleway" w:cs="Times New Roman"/>
            <w:sz w:val="24"/>
            <w:szCs w:val="24"/>
            <w:lang w:eastAsia="it-IT"/>
          </w:rPr>
          <w:t>http://www.numeripari.org/2019/07/18/miur-pubblicati-i-dati-sulla-dispersione-scolastica/</w:t>
        </w:r>
      </w:hyperlink>
    </w:p>
    <w:p w14:paraId="1CB0D22B" w14:textId="15897202" w:rsid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</w:p>
    <w:p w14:paraId="54E760E9" w14:textId="4417FD05" w:rsidR="00F16BC6" w:rsidRPr="00F16BC6" w:rsidRDefault="003005EF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3005EF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http://amisuradicomune.istat.it/aMisuraDiComune/</w:t>
      </w:r>
    </w:p>
    <w:p w14:paraId="1B6A6D41" w14:textId="77777777" w:rsidR="00F16BC6" w:rsidRPr="00F16BC6" w:rsidRDefault="00F16BC6" w:rsidP="00F16BC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noProof/>
          <w:color w:val="47425D"/>
          <w:sz w:val="24"/>
          <w:szCs w:val="24"/>
          <w:lang w:eastAsia="it-IT"/>
        </w:rPr>
        <w:lastRenderedPageBreak/>
        <w:drawing>
          <wp:inline distT="0" distB="0" distL="0" distR="0" wp14:anchorId="1307E9E2" wp14:editId="31A43860">
            <wp:extent cx="12192000" cy="9163050"/>
            <wp:effectExtent l="0" t="0" r="0" b="0"/>
            <wp:docPr id="4" name="Immagine 4" descr="Schermata 2019 07 18 All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19 07 18 All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1C72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lastRenderedPageBreak/>
        <w:t>Accorpando i cinque “tasselli della dispersione” gli alunni che, a cavallo dei due anni scolastici 2016/17 e 2017/18 sono complessivamente usciti dal sistema scolastico nazionale e non hanno assolto il diritto-dovere all’istruzione sono l’1,17% degli alunni frequentanti la scuola secondaria di I grado a inizio anno scolastico e il 3,82% degli alunni frequentanti la scuola secondaria di II grado a inizio anno scolastico, </w:t>
      </w:r>
      <w:hyperlink r:id="rId19" w:history="1">
        <w:r w:rsidRPr="00F16BC6">
          <w:rPr>
            <w:rFonts w:ascii="Raleway" w:eastAsia="Times New Roman" w:hAnsi="Raleway" w:cs="Times New Roman"/>
            <w:b/>
            <w:bCs/>
            <w:color w:val="D65050"/>
            <w:sz w:val="24"/>
            <w:szCs w:val="24"/>
            <w:lang w:eastAsia="it-IT"/>
          </w:rPr>
          <w:t>in calo dal 2014/15</w:t>
        </w:r>
      </w:hyperlink>
      <w:r w:rsidRPr="00F16BC6">
        <w:rPr>
          <w:rFonts w:ascii="Raleway" w:eastAsia="Times New Roman" w:hAnsi="Raleway" w:cs="Times New Roman"/>
          <w:b/>
          <w:bCs/>
          <w:color w:val="47425D"/>
          <w:sz w:val="24"/>
          <w:szCs w:val="24"/>
          <w:lang w:eastAsia="it-IT"/>
        </w:rPr>
        <w:t>. Ma significa sempre che mancano all’appello complessivamente, quell’anno, 131.062 studenti.</w:t>
      </w:r>
    </w:p>
    <w:p w14:paraId="35C62658" w14:textId="77777777" w:rsidR="00F16BC6" w:rsidRPr="00F16BC6" w:rsidRDefault="00F16BC6" w:rsidP="00F16BC6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</w:pPr>
      <w:r w:rsidRPr="00F16BC6">
        <w:rPr>
          <w:rFonts w:ascii="Raleway" w:eastAsia="Times New Roman" w:hAnsi="Raleway" w:cs="Times New Roman"/>
          <w:color w:val="47425D"/>
          <w:sz w:val="24"/>
          <w:szCs w:val="24"/>
          <w:lang w:eastAsia="it-IT"/>
        </w:rPr>
        <w:t>Quali fattori influiscono sulla dispersione scolastica? L’ultimo paragrafo del report del MIUR mette in correlazione i dati sull’abbandono complessivo degli alunni con alcuni dati presi dal Rapporto BES dell’Istat (livello culturale e del grado di istruzione raggiunto dalle famiglie, capacità reddituali e il benessere economico del territorio, grado di partecipazione al lavoro della popolazione e delle donne con figli): «tale esercizio mostra come la propensione all’abbandono del sistema scolastico e formativo sia più elevata nelle aree più disagiate del paese, sia per quel che riguarda la scuola secondaria di I grado che quella di II grado»</w:t>
      </w:r>
    </w:p>
    <w:p w14:paraId="0D52FA37" w14:textId="4355B7FE" w:rsidR="00F16BC6" w:rsidRDefault="00F16BC6"/>
    <w:p w14:paraId="4A8064F6" w14:textId="77777777" w:rsidR="00F16BC6" w:rsidRDefault="00F16BC6"/>
    <w:p w14:paraId="6200AC58" w14:textId="2BC1C924" w:rsidR="004E6D6A" w:rsidRDefault="00F16BC6">
      <w:r>
        <w:rPr>
          <w:noProof/>
        </w:rPr>
        <w:drawing>
          <wp:inline distT="0" distB="0" distL="0" distR="0" wp14:anchorId="444E2246" wp14:editId="6D101092">
            <wp:extent cx="6120130" cy="3546322"/>
            <wp:effectExtent l="0" t="0" r="0" b="0"/>
            <wp:docPr id="2" name="Immagine 2" descr="Schermata 2019 07 18 All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9 07 18 All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7D"/>
    <w:rsid w:val="000101F2"/>
    <w:rsid w:val="00040445"/>
    <w:rsid w:val="002404DD"/>
    <w:rsid w:val="0025091E"/>
    <w:rsid w:val="002D4C9A"/>
    <w:rsid w:val="003005EF"/>
    <w:rsid w:val="003147CE"/>
    <w:rsid w:val="00353F52"/>
    <w:rsid w:val="003F409B"/>
    <w:rsid w:val="00447585"/>
    <w:rsid w:val="0047707D"/>
    <w:rsid w:val="00477E2A"/>
    <w:rsid w:val="00481E5B"/>
    <w:rsid w:val="00490E22"/>
    <w:rsid w:val="004E6D6A"/>
    <w:rsid w:val="005A1A76"/>
    <w:rsid w:val="005E6428"/>
    <w:rsid w:val="0062273B"/>
    <w:rsid w:val="00632EAD"/>
    <w:rsid w:val="00667998"/>
    <w:rsid w:val="006A18E3"/>
    <w:rsid w:val="007066D1"/>
    <w:rsid w:val="007272C0"/>
    <w:rsid w:val="0077530C"/>
    <w:rsid w:val="00777689"/>
    <w:rsid w:val="00785BE3"/>
    <w:rsid w:val="00852974"/>
    <w:rsid w:val="008A1A44"/>
    <w:rsid w:val="008E29A0"/>
    <w:rsid w:val="00927F77"/>
    <w:rsid w:val="00931109"/>
    <w:rsid w:val="00A360DC"/>
    <w:rsid w:val="00A711FE"/>
    <w:rsid w:val="00AF6F8A"/>
    <w:rsid w:val="00BD4E25"/>
    <w:rsid w:val="00C51C65"/>
    <w:rsid w:val="00C83E22"/>
    <w:rsid w:val="00CB79AA"/>
    <w:rsid w:val="00D1094A"/>
    <w:rsid w:val="00D51345"/>
    <w:rsid w:val="00DD4E2C"/>
    <w:rsid w:val="00DE17C1"/>
    <w:rsid w:val="00E66409"/>
    <w:rsid w:val="00EC5FE8"/>
    <w:rsid w:val="00F14A8B"/>
    <w:rsid w:val="00F16BC6"/>
    <w:rsid w:val="00F34CE1"/>
    <w:rsid w:val="00F7207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4B9D"/>
  <w15:chartTrackingRefBased/>
  <w15:docId w15:val="{D0618120-2887-4075-98DB-C34FDE7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6B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4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titalia.it/puglia/30-santeramo-in-colle/55-scuole/" TargetMode="External"/><Relationship Id="rId13" Type="http://schemas.openxmlformats.org/officeDocument/2006/relationships/hyperlink" Target="https://www.tuttitalia.it/puglia/84-altamura/49-scuole/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uttitalia.it/puglia/60-monopoli/77-scuole/" TargetMode="External"/><Relationship Id="rId12" Type="http://schemas.openxmlformats.org/officeDocument/2006/relationships/hyperlink" Target="https://www.tuttitalia.it/puglia/84-altamura/49-scuole/" TargetMode="External"/><Relationship Id="rId17" Type="http://schemas.openxmlformats.org/officeDocument/2006/relationships/hyperlink" Target="http://www.numeripari.org/2019/07/18/miur-pubblicati-i-dati-sulla-dispersione-scolastic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tuttitalia.it/puglia/44-triggiano/81-scuole/" TargetMode="External"/><Relationship Id="rId11" Type="http://schemas.openxmlformats.org/officeDocument/2006/relationships/hyperlink" Target="https://www.tuttitalia.it/puglia/84-altamura/49-scuole/" TargetMode="External"/><Relationship Id="rId5" Type="http://schemas.openxmlformats.org/officeDocument/2006/relationships/hyperlink" Target="https://www.tuttitalia.it/puglia/45-modugno/20-scuole/" TargetMode="External"/><Relationship Id="rId15" Type="http://schemas.openxmlformats.org/officeDocument/2006/relationships/hyperlink" Target="http://www.numeripari.org/author/admin2/" TargetMode="External"/><Relationship Id="rId10" Type="http://schemas.openxmlformats.org/officeDocument/2006/relationships/hyperlink" Target="https://www.tuttitalia.it/puglia/84-altamura/49-scuole/" TargetMode="External"/><Relationship Id="rId19" Type="http://schemas.openxmlformats.org/officeDocument/2006/relationships/hyperlink" Target="http://www.vita.it/it/article/2017/11/14/quei-135447-studenti-che-ogni-anno-lasciano-la-scuola/145087/" TargetMode="External"/><Relationship Id="rId4" Type="http://schemas.openxmlformats.org/officeDocument/2006/relationships/hyperlink" Target="https://www.tuttitalia.it/puglia/20-gravina-in-puglia/46-scuole/" TargetMode="External"/><Relationship Id="rId9" Type="http://schemas.openxmlformats.org/officeDocument/2006/relationships/hyperlink" Target="https://www.tuttitalia.it/puglia/50-alberobello/74-scuole/" TargetMode="External"/><Relationship Id="rId14" Type="http://schemas.openxmlformats.org/officeDocument/2006/relationships/hyperlink" Target="http://www.numeripari.org/2019/07/18/miur-pubblicati-i-dati-sulla-dispersione-scolastic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Dambrosio Giuseppe</dc:creator>
  <cp:keywords/>
  <dc:description/>
  <cp:lastModifiedBy>Dambrosio Giuseppe</cp:lastModifiedBy>
  <cp:revision>3</cp:revision>
  <dcterms:created xsi:type="dcterms:W3CDTF">2021-03-15T11:58:00Z</dcterms:created>
  <dcterms:modified xsi:type="dcterms:W3CDTF">2021-03-17T15:33:00Z</dcterms:modified>
</cp:coreProperties>
</file>